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bCs w:val="0"/>
          <w:color w:val="4472C4" w:themeColor="accent1"/>
          <w:sz w:val="22"/>
        </w:rPr>
        <w:id w:val="-609737647"/>
        <w:docPartObj>
          <w:docPartGallery w:val="Cover Pages"/>
          <w:docPartUnique/>
        </w:docPartObj>
      </w:sdtPr>
      <w:sdtEndPr>
        <w:rPr>
          <w:color w:val="auto"/>
        </w:rPr>
      </w:sdtEndPr>
      <w:sdtContent>
        <w:p w14:paraId="22470F5E" w14:textId="7B562063" w:rsidR="00B60F19" w:rsidRPr="00667887" w:rsidRDefault="00B60F19" w:rsidP="00667887">
          <w:pPr>
            <w:pStyle w:val="Title"/>
          </w:pPr>
          <w:r>
            <w:rPr>
              <w:sz w:val="56"/>
              <w:szCs w:val="56"/>
            </w:rPr>
            <w:br/>
          </w:r>
          <w:r>
            <w:rPr>
              <w:sz w:val="56"/>
              <w:szCs w:val="56"/>
            </w:rPr>
            <w:br/>
          </w:r>
          <w:r w:rsidRPr="007D12FD">
            <w:rPr>
              <w:sz w:val="52"/>
              <w:szCs w:val="52"/>
            </w:rPr>
            <w:t xml:space="preserve">Act No. </w:t>
          </w:r>
          <w:r>
            <w:rPr>
              <w:sz w:val="52"/>
              <w:szCs w:val="52"/>
            </w:rPr>
            <w:t>74</w:t>
          </w:r>
          <w:r w:rsidRPr="007D12FD">
            <w:rPr>
              <w:sz w:val="52"/>
              <w:szCs w:val="52"/>
            </w:rPr>
            <w:t xml:space="preserve"> (2021) Report: </w:t>
          </w:r>
          <w:r w:rsidRPr="007D12FD">
            <w:rPr>
              <w:sz w:val="52"/>
              <w:szCs w:val="52"/>
            </w:rPr>
            <w:br/>
          </w:r>
          <w:r>
            <w:rPr>
              <w:sz w:val="52"/>
              <w:szCs w:val="52"/>
            </w:rPr>
            <w:t>Essential Health Benefit Benchmark Plan Review</w:t>
          </w:r>
          <w:r>
            <w:rPr>
              <w:sz w:val="52"/>
              <w:szCs w:val="52"/>
            </w:rPr>
            <w:br/>
          </w:r>
          <w:r w:rsidRPr="007D12FD">
            <w:rPr>
              <w:sz w:val="52"/>
              <w:szCs w:val="52"/>
            </w:rPr>
            <w:br/>
          </w:r>
          <w:r w:rsidRPr="007D12FD">
            <w:rPr>
              <w:sz w:val="52"/>
              <w:szCs w:val="52"/>
            </w:rPr>
            <w:br/>
          </w:r>
          <w:r w:rsidR="72AA80C1">
            <w:rPr>
              <w:noProof/>
            </w:rPr>
            <w:drawing>
              <wp:inline distT="0" distB="0" distL="0" distR="0" wp14:anchorId="31F8066A" wp14:editId="1ECE930E">
                <wp:extent cx="4412239" cy="914400"/>
                <wp:effectExtent l="0" t="0" r="762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12239" cy="914400"/>
                        </a:xfrm>
                        <a:prstGeom prst="rect">
                          <a:avLst/>
                        </a:prstGeom>
                      </pic:spPr>
                    </pic:pic>
                  </a:graphicData>
                </a:graphic>
              </wp:inline>
            </w:drawing>
          </w:r>
          <w:r>
            <w:rPr>
              <w:sz w:val="52"/>
              <w:szCs w:val="52"/>
            </w:rPr>
            <w:br/>
          </w:r>
          <w:r w:rsidRPr="007D12FD">
            <w:rPr>
              <w:sz w:val="52"/>
              <w:szCs w:val="52"/>
            </w:rPr>
            <w:br/>
          </w:r>
          <w:r w:rsidRPr="007D12FD">
            <w:rPr>
              <w:sz w:val="52"/>
              <w:szCs w:val="52"/>
            </w:rPr>
            <w:br/>
            <w:t xml:space="preserve">Michael S. Pieciak, Commissioner </w:t>
          </w:r>
          <w:r w:rsidRPr="007D12FD">
            <w:rPr>
              <w:sz w:val="52"/>
              <w:szCs w:val="52"/>
            </w:rPr>
            <w:br/>
            <w:t xml:space="preserve">January </w:t>
          </w:r>
          <w:r>
            <w:rPr>
              <w:sz w:val="52"/>
              <w:szCs w:val="52"/>
            </w:rPr>
            <w:t>20</w:t>
          </w:r>
          <w:r w:rsidRPr="007D12FD">
            <w:rPr>
              <w:sz w:val="52"/>
              <w:szCs w:val="52"/>
            </w:rPr>
            <w:t>, 2022</w:t>
          </w:r>
        </w:p>
        <w:p w14:paraId="7D5A4A75" w14:textId="77777777" w:rsidR="00667887" w:rsidRDefault="00667887" w:rsidP="00667887">
          <w:pPr>
            <w:adjustRightInd w:val="0"/>
            <w:snapToGrid w:val="0"/>
            <w:rPr>
              <w:rFonts w:cs="Arial"/>
              <w:color w:val="000000" w:themeColor="text1"/>
            </w:rPr>
          </w:pPr>
        </w:p>
        <w:p w14:paraId="46A522B5" w14:textId="77777777" w:rsidR="00667887" w:rsidRDefault="00667887" w:rsidP="009B2600">
          <w:pPr>
            <w:adjustRightInd w:val="0"/>
            <w:snapToGrid w:val="0"/>
            <w:jc w:val="both"/>
            <w:rPr>
              <w:rFonts w:cs="Arial"/>
              <w:color w:val="000000" w:themeColor="text1"/>
            </w:rPr>
          </w:pPr>
        </w:p>
        <w:p w14:paraId="26EAE532" w14:textId="77777777" w:rsidR="00667887" w:rsidRDefault="00667887" w:rsidP="009B2600">
          <w:pPr>
            <w:adjustRightInd w:val="0"/>
            <w:snapToGrid w:val="0"/>
            <w:jc w:val="both"/>
            <w:rPr>
              <w:rFonts w:cs="Arial"/>
              <w:color w:val="000000" w:themeColor="text1"/>
            </w:rPr>
          </w:pPr>
        </w:p>
        <w:p w14:paraId="4781C541" w14:textId="77777777" w:rsidR="00667887" w:rsidRDefault="00667887" w:rsidP="009B2600">
          <w:pPr>
            <w:adjustRightInd w:val="0"/>
            <w:snapToGrid w:val="0"/>
            <w:jc w:val="both"/>
            <w:rPr>
              <w:rFonts w:cs="Arial"/>
              <w:color w:val="000000" w:themeColor="text1"/>
            </w:rPr>
          </w:pPr>
        </w:p>
        <w:p w14:paraId="3D59418F" w14:textId="77777777" w:rsidR="00667887" w:rsidRDefault="00667887" w:rsidP="009B2600">
          <w:pPr>
            <w:adjustRightInd w:val="0"/>
            <w:snapToGrid w:val="0"/>
            <w:jc w:val="both"/>
            <w:rPr>
              <w:rFonts w:cs="Arial"/>
              <w:color w:val="000000" w:themeColor="text1"/>
            </w:rPr>
          </w:pPr>
        </w:p>
        <w:p w14:paraId="1D453F08" w14:textId="77777777" w:rsidR="00667887" w:rsidRDefault="00667887" w:rsidP="009B2600">
          <w:pPr>
            <w:adjustRightInd w:val="0"/>
            <w:snapToGrid w:val="0"/>
            <w:jc w:val="both"/>
            <w:rPr>
              <w:rFonts w:cs="Arial"/>
              <w:color w:val="000000" w:themeColor="text1"/>
            </w:rPr>
          </w:pPr>
        </w:p>
        <w:p w14:paraId="1B2AA668" w14:textId="77777777" w:rsidR="00667887" w:rsidRDefault="00667887" w:rsidP="009B2600">
          <w:pPr>
            <w:adjustRightInd w:val="0"/>
            <w:snapToGrid w:val="0"/>
            <w:jc w:val="both"/>
            <w:rPr>
              <w:rFonts w:cs="Arial"/>
              <w:color w:val="000000" w:themeColor="text1"/>
            </w:rPr>
          </w:pPr>
        </w:p>
        <w:p w14:paraId="21A34EA8" w14:textId="1B255C65" w:rsidR="00E944CA" w:rsidRDefault="0043130C"/>
      </w:sdtContent>
    </w:sdt>
    <w:bookmarkStart w:id="0" w:name="_Toc93557849" w:displacedByCustomXml="next"/>
    <w:sdt>
      <w:sdtPr>
        <w:rPr>
          <w:rFonts w:asciiTheme="minorHAnsi" w:eastAsiaTheme="minorHAnsi" w:hAnsiTheme="minorHAnsi" w:cstheme="minorBidi"/>
          <w:color w:val="auto"/>
          <w:sz w:val="22"/>
          <w:szCs w:val="22"/>
        </w:rPr>
        <w:id w:val="-1535576625"/>
        <w:docPartObj>
          <w:docPartGallery w:val="Table of Contents"/>
          <w:docPartUnique/>
        </w:docPartObj>
      </w:sdtPr>
      <w:sdtEndPr>
        <w:rPr>
          <w:b/>
          <w:bCs/>
          <w:noProof/>
        </w:rPr>
      </w:sdtEndPr>
      <w:sdtContent>
        <w:p w14:paraId="63EBEE88" w14:textId="3BEA2BE9" w:rsidR="00C578B7" w:rsidRPr="00201374" w:rsidRDefault="00C578B7" w:rsidP="00C578B7">
          <w:pPr>
            <w:pStyle w:val="Heading1"/>
            <w:rPr>
              <w:sz w:val="52"/>
              <w:szCs w:val="52"/>
            </w:rPr>
          </w:pPr>
          <w:r>
            <w:t>Ta</w:t>
          </w:r>
          <w:r w:rsidR="00201374">
            <w:t>b</w:t>
          </w:r>
          <w:r>
            <w:t>le of Contents</w:t>
          </w:r>
          <w:bookmarkEnd w:id="0"/>
        </w:p>
        <w:p w14:paraId="67EC6ABB" w14:textId="6DDACAEC" w:rsidR="00AF6BE8" w:rsidRDefault="00C578B7">
          <w:pPr>
            <w:pStyle w:val="TOC1"/>
            <w:rPr>
              <w:rFonts w:eastAsiaTheme="minorEastAsia"/>
              <w:noProof/>
            </w:rPr>
          </w:pPr>
          <w:r>
            <w:fldChar w:fldCharType="begin"/>
          </w:r>
          <w:r>
            <w:instrText xml:space="preserve"> TOC \o "1-3" \h \z \u </w:instrText>
          </w:r>
          <w:r>
            <w:fldChar w:fldCharType="separate"/>
          </w:r>
          <w:hyperlink w:anchor="_Toc93557849" w:history="1">
            <w:r w:rsidR="00AF6BE8" w:rsidRPr="002A758B">
              <w:rPr>
                <w:rStyle w:val="Hyperlink"/>
                <w:noProof/>
              </w:rPr>
              <w:t>Table of Contents</w:t>
            </w:r>
            <w:r w:rsidR="00AF6BE8">
              <w:rPr>
                <w:noProof/>
                <w:webHidden/>
              </w:rPr>
              <w:tab/>
            </w:r>
            <w:r w:rsidR="00AF6BE8">
              <w:rPr>
                <w:noProof/>
                <w:webHidden/>
              </w:rPr>
              <w:fldChar w:fldCharType="begin"/>
            </w:r>
            <w:r w:rsidR="00AF6BE8">
              <w:rPr>
                <w:noProof/>
                <w:webHidden/>
              </w:rPr>
              <w:instrText xml:space="preserve"> PAGEREF _Toc93557849 \h </w:instrText>
            </w:r>
            <w:r w:rsidR="00AF6BE8">
              <w:rPr>
                <w:noProof/>
                <w:webHidden/>
              </w:rPr>
            </w:r>
            <w:r w:rsidR="00AF6BE8">
              <w:rPr>
                <w:noProof/>
                <w:webHidden/>
              </w:rPr>
              <w:fldChar w:fldCharType="separate"/>
            </w:r>
            <w:r w:rsidR="00AF6BE8">
              <w:rPr>
                <w:noProof/>
                <w:webHidden/>
              </w:rPr>
              <w:t>1</w:t>
            </w:r>
            <w:r w:rsidR="00AF6BE8">
              <w:rPr>
                <w:noProof/>
                <w:webHidden/>
              </w:rPr>
              <w:fldChar w:fldCharType="end"/>
            </w:r>
          </w:hyperlink>
        </w:p>
        <w:p w14:paraId="73C76391" w14:textId="6ABCCD80" w:rsidR="00AF6BE8" w:rsidRDefault="0043130C">
          <w:pPr>
            <w:pStyle w:val="TOC1"/>
            <w:tabs>
              <w:tab w:val="left" w:pos="440"/>
            </w:tabs>
            <w:rPr>
              <w:rFonts w:eastAsiaTheme="minorEastAsia"/>
              <w:noProof/>
            </w:rPr>
          </w:pPr>
          <w:hyperlink w:anchor="_Toc93557850" w:history="1">
            <w:r w:rsidR="00AF6BE8" w:rsidRPr="002A758B">
              <w:rPr>
                <w:rStyle w:val="Hyperlink"/>
                <w:noProof/>
              </w:rPr>
              <w:t>I.</w:t>
            </w:r>
            <w:r w:rsidR="00AF6BE8">
              <w:rPr>
                <w:rFonts w:eastAsiaTheme="minorEastAsia"/>
                <w:noProof/>
              </w:rPr>
              <w:tab/>
            </w:r>
            <w:r w:rsidR="00AF6BE8" w:rsidRPr="002A758B">
              <w:rPr>
                <w:rStyle w:val="Hyperlink"/>
                <w:noProof/>
              </w:rPr>
              <w:t>Introduction</w:t>
            </w:r>
            <w:r w:rsidR="00AF6BE8">
              <w:rPr>
                <w:noProof/>
                <w:webHidden/>
              </w:rPr>
              <w:tab/>
            </w:r>
            <w:r w:rsidR="00AF6BE8">
              <w:rPr>
                <w:noProof/>
                <w:webHidden/>
              </w:rPr>
              <w:fldChar w:fldCharType="begin"/>
            </w:r>
            <w:r w:rsidR="00AF6BE8">
              <w:rPr>
                <w:noProof/>
                <w:webHidden/>
              </w:rPr>
              <w:instrText xml:space="preserve"> PAGEREF _Toc93557850 \h </w:instrText>
            </w:r>
            <w:r w:rsidR="00AF6BE8">
              <w:rPr>
                <w:noProof/>
                <w:webHidden/>
              </w:rPr>
            </w:r>
            <w:r w:rsidR="00AF6BE8">
              <w:rPr>
                <w:noProof/>
                <w:webHidden/>
              </w:rPr>
              <w:fldChar w:fldCharType="separate"/>
            </w:r>
            <w:r w:rsidR="00AF6BE8">
              <w:rPr>
                <w:noProof/>
                <w:webHidden/>
              </w:rPr>
              <w:t>2</w:t>
            </w:r>
            <w:r w:rsidR="00AF6BE8">
              <w:rPr>
                <w:noProof/>
                <w:webHidden/>
              </w:rPr>
              <w:fldChar w:fldCharType="end"/>
            </w:r>
          </w:hyperlink>
        </w:p>
        <w:p w14:paraId="4343B77F" w14:textId="293B93F5" w:rsidR="00AF6BE8" w:rsidRDefault="0043130C">
          <w:pPr>
            <w:pStyle w:val="TOC1"/>
            <w:tabs>
              <w:tab w:val="left" w:pos="440"/>
            </w:tabs>
            <w:rPr>
              <w:rFonts w:eastAsiaTheme="minorEastAsia"/>
              <w:noProof/>
            </w:rPr>
          </w:pPr>
          <w:hyperlink w:anchor="_Toc93557851" w:history="1">
            <w:r w:rsidR="00AF6BE8" w:rsidRPr="002A758B">
              <w:rPr>
                <w:rStyle w:val="Hyperlink"/>
                <w:noProof/>
              </w:rPr>
              <w:t>II.</w:t>
            </w:r>
            <w:r w:rsidR="00AF6BE8">
              <w:rPr>
                <w:rFonts w:eastAsiaTheme="minorEastAsia"/>
                <w:noProof/>
              </w:rPr>
              <w:tab/>
            </w:r>
            <w:r w:rsidR="00AF6BE8" w:rsidRPr="002A758B">
              <w:rPr>
                <w:rStyle w:val="Hyperlink"/>
                <w:noProof/>
              </w:rPr>
              <w:t>Background</w:t>
            </w:r>
            <w:r w:rsidR="00AF6BE8">
              <w:rPr>
                <w:noProof/>
                <w:webHidden/>
              </w:rPr>
              <w:tab/>
            </w:r>
            <w:r w:rsidR="00AF6BE8">
              <w:rPr>
                <w:noProof/>
                <w:webHidden/>
              </w:rPr>
              <w:fldChar w:fldCharType="begin"/>
            </w:r>
            <w:r w:rsidR="00AF6BE8">
              <w:rPr>
                <w:noProof/>
                <w:webHidden/>
              </w:rPr>
              <w:instrText xml:space="preserve"> PAGEREF _Toc93557851 \h </w:instrText>
            </w:r>
            <w:r w:rsidR="00AF6BE8">
              <w:rPr>
                <w:noProof/>
                <w:webHidden/>
              </w:rPr>
            </w:r>
            <w:r w:rsidR="00AF6BE8">
              <w:rPr>
                <w:noProof/>
                <w:webHidden/>
              </w:rPr>
              <w:fldChar w:fldCharType="separate"/>
            </w:r>
            <w:r w:rsidR="00AF6BE8">
              <w:rPr>
                <w:noProof/>
                <w:webHidden/>
              </w:rPr>
              <w:t>2</w:t>
            </w:r>
            <w:r w:rsidR="00AF6BE8">
              <w:rPr>
                <w:noProof/>
                <w:webHidden/>
              </w:rPr>
              <w:fldChar w:fldCharType="end"/>
            </w:r>
          </w:hyperlink>
        </w:p>
        <w:p w14:paraId="17E36CDD" w14:textId="074DD5D9" w:rsidR="00AF6BE8" w:rsidRDefault="0043130C">
          <w:pPr>
            <w:pStyle w:val="TOC2"/>
            <w:tabs>
              <w:tab w:val="right" w:leader="dot" w:pos="9350"/>
            </w:tabs>
            <w:rPr>
              <w:rFonts w:eastAsiaTheme="minorEastAsia"/>
              <w:noProof/>
            </w:rPr>
          </w:pPr>
          <w:hyperlink w:anchor="_Toc93557852" w:history="1">
            <w:r w:rsidR="00AF6BE8" w:rsidRPr="002A758B">
              <w:rPr>
                <w:rStyle w:val="Hyperlink"/>
                <w:noProof/>
              </w:rPr>
              <w:t>Act 74 of 2021</w:t>
            </w:r>
            <w:r w:rsidR="00AF6BE8">
              <w:rPr>
                <w:noProof/>
                <w:webHidden/>
              </w:rPr>
              <w:tab/>
            </w:r>
            <w:r w:rsidR="00AF6BE8">
              <w:rPr>
                <w:noProof/>
                <w:webHidden/>
              </w:rPr>
              <w:fldChar w:fldCharType="begin"/>
            </w:r>
            <w:r w:rsidR="00AF6BE8">
              <w:rPr>
                <w:noProof/>
                <w:webHidden/>
              </w:rPr>
              <w:instrText xml:space="preserve"> PAGEREF _Toc93557852 \h </w:instrText>
            </w:r>
            <w:r w:rsidR="00AF6BE8">
              <w:rPr>
                <w:noProof/>
                <w:webHidden/>
              </w:rPr>
            </w:r>
            <w:r w:rsidR="00AF6BE8">
              <w:rPr>
                <w:noProof/>
                <w:webHidden/>
              </w:rPr>
              <w:fldChar w:fldCharType="separate"/>
            </w:r>
            <w:r w:rsidR="00AF6BE8">
              <w:rPr>
                <w:noProof/>
                <w:webHidden/>
              </w:rPr>
              <w:t>3</w:t>
            </w:r>
            <w:r w:rsidR="00AF6BE8">
              <w:rPr>
                <w:noProof/>
                <w:webHidden/>
              </w:rPr>
              <w:fldChar w:fldCharType="end"/>
            </w:r>
          </w:hyperlink>
        </w:p>
        <w:p w14:paraId="0AD41914" w14:textId="2CEF6EA1" w:rsidR="00AF6BE8" w:rsidRDefault="0043130C">
          <w:pPr>
            <w:pStyle w:val="TOC1"/>
            <w:rPr>
              <w:rFonts w:eastAsiaTheme="minorEastAsia"/>
              <w:noProof/>
            </w:rPr>
          </w:pPr>
          <w:hyperlink w:anchor="_Toc93557853" w:history="1">
            <w:r w:rsidR="00AF6BE8" w:rsidRPr="002A758B">
              <w:rPr>
                <w:rStyle w:val="Hyperlink"/>
                <w:noProof/>
              </w:rPr>
              <w:t>Essential Health Benefit Plan Updates</w:t>
            </w:r>
            <w:r w:rsidR="00AF6BE8">
              <w:rPr>
                <w:noProof/>
                <w:webHidden/>
              </w:rPr>
              <w:tab/>
            </w:r>
            <w:r w:rsidR="00AF6BE8">
              <w:rPr>
                <w:noProof/>
                <w:webHidden/>
              </w:rPr>
              <w:fldChar w:fldCharType="begin"/>
            </w:r>
            <w:r w:rsidR="00AF6BE8">
              <w:rPr>
                <w:noProof/>
                <w:webHidden/>
              </w:rPr>
              <w:instrText xml:space="preserve"> PAGEREF _Toc93557853 \h </w:instrText>
            </w:r>
            <w:r w:rsidR="00AF6BE8">
              <w:rPr>
                <w:noProof/>
                <w:webHidden/>
              </w:rPr>
            </w:r>
            <w:r w:rsidR="00AF6BE8">
              <w:rPr>
                <w:noProof/>
                <w:webHidden/>
              </w:rPr>
              <w:fldChar w:fldCharType="separate"/>
            </w:r>
            <w:r w:rsidR="00AF6BE8">
              <w:rPr>
                <w:noProof/>
                <w:webHidden/>
              </w:rPr>
              <w:t>3</w:t>
            </w:r>
            <w:r w:rsidR="00AF6BE8">
              <w:rPr>
                <w:noProof/>
                <w:webHidden/>
              </w:rPr>
              <w:fldChar w:fldCharType="end"/>
            </w:r>
          </w:hyperlink>
        </w:p>
        <w:p w14:paraId="05D2CFFD" w14:textId="4528C164" w:rsidR="00AF6BE8" w:rsidRDefault="0043130C">
          <w:pPr>
            <w:pStyle w:val="TOC1"/>
            <w:tabs>
              <w:tab w:val="left" w:pos="660"/>
            </w:tabs>
            <w:rPr>
              <w:rFonts w:eastAsiaTheme="minorEastAsia"/>
              <w:noProof/>
            </w:rPr>
          </w:pPr>
          <w:hyperlink w:anchor="_Toc93557854" w:history="1">
            <w:r w:rsidR="00AF6BE8" w:rsidRPr="002A758B">
              <w:rPr>
                <w:rStyle w:val="Hyperlink"/>
                <w:noProof/>
              </w:rPr>
              <w:t>III.</w:t>
            </w:r>
            <w:r w:rsidR="00AF6BE8">
              <w:rPr>
                <w:rFonts w:eastAsiaTheme="minorEastAsia"/>
                <w:noProof/>
              </w:rPr>
              <w:tab/>
            </w:r>
            <w:r w:rsidR="00AF6BE8" w:rsidRPr="002A758B">
              <w:rPr>
                <w:rStyle w:val="Hyperlink"/>
                <w:noProof/>
              </w:rPr>
              <w:t>Alignment with State Health Care Reform Goals</w:t>
            </w:r>
            <w:r w:rsidR="00AF6BE8">
              <w:rPr>
                <w:noProof/>
                <w:webHidden/>
              </w:rPr>
              <w:tab/>
            </w:r>
            <w:r w:rsidR="00AF6BE8">
              <w:rPr>
                <w:noProof/>
                <w:webHidden/>
              </w:rPr>
              <w:fldChar w:fldCharType="begin"/>
            </w:r>
            <w:r w:rsidR="00AF6BE8">
              <w:rPr>
                <w:noProof/>
                <w:webHidden/>
              </w:rPr>
              <w:instrText xml:space="preserve"> PAGEREF _Toc93557854 \h </w:instrText>
            </w:r>
            <w:r w:rsidR="00AF6BE8">
              <w:rPr>
                <w:noProof/>
                <w:webHidden/>
              </w:rPr>
            </w:r>
            <w:r w:rsidR="00AF6BE8">
              <w:rPr>
                <w:noProof/>
                <w:webHidden/>
              </w:rPr>
              <w:fldChar w:fldCharType="separate"/>
            </w:r>
            <w:r w:rsidR="00AF6BE8">
              <w:rPr>
                <w:noProof/>
                <w:webHidden/>
              </w:rPr>
              <w:t>5</w:t>
            </w:r>
            <w:r w:rsidR="00AF6BE8">
              <w:rPr>
                <w:noProof/>
                <w:webHidden/>
              </w:rPr>
              <w:fldChar w:fldCharType="end"/>
            </w:r>
          </w:hyperlink>
        </w:p>
        <w:p w14:paraId="0381C779" w14:textId="6794F23D" w:rsidR="00AF6BE8" w:rsidRDefault="0043130C">
          <w:pPr>
            <w:pStyle w:val="TOC2"/>
            <w:tabs>
              <w:tab w:val="right" w:leader="dot" w:pos="9350"/>
            </w:tabs>
            <w:rPr>
              <w:rFonts w:eastAsiaTheme="minorEastAsia"/>
              <w:noProof/>
            </w:rPr>
          </w:pPr>
          <w:hyperlink w:anchor="_Toc93557855" w:history="1">
            <w:r w:rsidR="00AF6BE8" w:rsidRPr="002A758B">
              <w:rPr>
                <w:rStyle w:val="Hyperlink"/>
                <w:noProof/>
              </w:rPr>
              <w:t>All-Payer ACO Model Agreement</w:t>
            </w:r>
            <w:r w:rsidR="00AF6BE8">
              <w:rPr>
                <w:noProof/>
                <w:webHidden/>
              </w:rPr>
              <w:tab/>
            </w:r>
            <w:r w:rsidR="00AF6BE8">
              <w:rPr>
                <w:noProof/>
                <w:webHidden/>
              </w:rPr>
              <w:fldChar w:fldCharType="begin"/>
            </w:r>
            <w:r w:rsidR="00AF6BE8">
              <w:rPr>
                <w:noProof/>
                <w:webHidden/>
              </w:rPr>
              <w:instrText xml:space="preserve"> PAGEREF _Toc93557855 \h </w:instrText>
            </w:r>
            <w:r w:rsidR="00AF6BE8">
              <w:rPr>
                <w:noProof/>
                <w:webHidden/>
              </w:rPr>
            </w:r>
            <w:r w:rsidR="00AF6BE8">
              <w:rPr>
                <w:noProof/>
                <w:webHidden/>
              </w:rPr>
              <w:fldChar w:fldCharType="separate"/>
            </w:r>
            <w:r w:rsidR="00AF6BE8">
              <w:rPr>
                <w:noProof/>
                <w:webHidden/>
              </w:rPr>
              <w:t>5</w:t>
            </w:r>
            <w:r w:rsidR="00AF6BE8">
              <w:rPr>
                <w:noProof/>
                <w:webHidden/>
              </w:rPr>
              <w:fldChar w:fldCharType="end"/>
            </w:r>
          </w:hyperlink>
        </w:p>
        <w:p w14:paraId="24CE2707" w14:textId="48115AB4" w:rsidR="00AF6BE8" w:rsidRDefault="0043130C">
          <w:pPr>
            <w:pStyle w:val="TOC2"/>
            <w:tabs>
              <w:tab w:val="right" w:leader="dot" w:pos="9350"/>
            </w:tabs>
            <w:rPr>
              <w:rFonts w:eastAsiaTheme="minorEastAsia"/>
              <w:noProof/>
            </w:rPr>
          </w:pPr>
          <w:hyperlink w:anchor="_Toc93557856" w:history="1">
            <w:r w:rsidR="00AF6BE8" w:rsidRPr="002A758B">
              <w:rPr>
                <w:rStyle w:val="Hyperlink"/>
                <w:noProof/>
              </w:rPr>
              <w:t>State Health Improvement Plan</w:t>
            </w:r>
            <w:r w:rsidR="00AF6BE8">
              <w:rPr>
                <w:noProof/>
                <w:webHidden/>
              </w:rPr>
              <w:tab/>
            </w:r>
            <w:r w:rsidR="00AF6BE8">
              <w:rPr>
                <w:noProof/>
                <w:webHidden/>
              </w:rPr>
              <w:fldChar w:fldCharType="begin"/>
            </w:r>
            <w:r w:rsidR="00AF6BE8">
              <w:rPr>
                <w:noProof/>
                <w:webHidden/>
              </w:rPr>
              <w:instrText xml:space="preserve"> PAGEREF _Toc93557856 \h </w:instrText>
            </w:r>
            <w:r w:rsidR="00AF6BE8">
              <w:rPr>
                <w:noProof/>
                <w:webHidden/>
              </w:rPr>
            </w:r>
            <w:r w:rsidR="00AF6BE8">
              <w:rPr>
                <w:noProof/>
                <w:webHidden/>
              </w:rPr>
              <w:fldChar w:fldCharType="separate"/>
            </w:r>
            <w:r w:rsidR="00AF6BE8">
              <w:rPr>
                <w:noProof/>
                <w:webHidden/>
              </w:rPr>
              <w:t>6</w:t>
            </w:r>
            <w:r w:rsidR="00AF6BE8">
              <w:rPr>
                <w:noProof/>
                <w:webHidden/>
              </w:rPr>
              <w:fldChar w:fldCharType="end"/>
            </w:r>
          </w:hyperlink>
        </w:p>
        <w:p w14:paraId="13BC089E" w14:textId="58390DB8" w:rsidR="00AF6BE8" w:rsidRDefault="0043130C">
          <w:pPr>
            <w:pStyle w:val="TOC1"/>
            <w:tabs>
              <w:tab w:val="left" w:pos="660"/>
            </w:tabs>
            <w:rPr>
              <w:rFonts w:eastAsiaTheme="minorEastAsia"/>
              <w:noProof/>
            </w:rPr>
          </w:pPr>
          <w:hyperlink w:anchor="_Toc93557857" w:history="1">
            <w:r w:rsidR="00AF6BE8" w:rsidRPr="002A758B">
              <w:rPr>
                <w:rStyle w:val="Hyperlink"/>
                <w:noProof/>
              </w:rPr>
              <w:t>IV.</w:t>
            </w:r>
            <w:r w:rsidR="00AF6BE8">
              <w:rPr>
                <w:rFonts w:eastAsiaTheme="minorEastAsia"/>
                <w:noProof/>
              </w:rPr>
              <w:tab/>
            </w:r>
            <w:r w:rsidR="00AF6BE8" w:rsidRPr="002A758B">
              <w:rPr>
                <w:rStyle w:val="Hyperlink"/>
                <w:noProof/>
              </w:rPr>
              <w:t>Benefit Analysis</w:t>
            </w:r>
            <w:r w:rsidR="00AF6BE8">
              <w:rPr>
                <w:noProof/>
                <w:webHidden/>
              </w:rPr>
              <w:tab/>
            </w:r>
            <w:r w:rsidR="00AF6BE8">
              <w:rPr>
                <w:noProof/>
                <w:webHidden/>
              </w:rPr>
              <w:fldChar w:fldCharType="begin"/>
            </w:r>
            <w:r w:rsidR="00AF6BE8">
              <w:rPr>
                <w:noProof/>
                <w:webHidden/>
              </w:rPr>
              <w:instrText xml:space="preserve"> PAGEREF _Toc93557857 \h </w:instrText>
            </w:r>
            <w:r w:rsidR="00AF6BE8">
              <w:rPr>
                <w:noProof/>
                <w:webHidden/>
              </w:rPr>
            </w:r>
            <w:r w:rsidR="00AF6BE8">
              <w:rPr>
                <w:noProof/>
                <w:webHidden/>
              </w:rPr>
              <w:fldChar w:fldCharType="separate"/>
            </w:r>
            <w:r w:rsidR="00AF6BE8">
              <w:rPr>
                <w:noProof/>
                <w:webHidden/>
              </w:rPr>
              <w:t>6</w:t>
            </w:r>
            <w:r w:rsidR="00AF6BE8">
              <w:rPr>
                <w:noProof/>
                <w:webHidden/>
              </w:rPr>
              <w:fldChar w:fldCharType="end"/>
            </w:r>
          </w:hyperlink>
        </w:p>
        <w:p w14:paraId="2FA35D68" w14:textId="14A5B8CB" w:rsidR="00AF6BE8" w:rsidRDefault="0043130C">
          <w:pPr>
            <w:pStyle w:val="TOC2"/>
            <w:tabs>
              <w:tab w:val="right" w:leader="dot" w:pos="9350"/>
            </w:tabs>
            <w:rPr>
              <w:rFonts w:eastAsiaTheme="minorEastAsia"/>
              <w:noProof/>
            </w:rPr>
          </w:pPr>
          <w:hyperlink w:anchor="_Toc93557858" w:history="1">
            <w:r w:rsidR="00AF6BE8" w:rsidRPr="002A758B">
              <w:rPr>
                <w:rStyle w:val="Hyperlink"/>
                <w:noProof/>
              </w:rPr>
              <w:t>Summary</w:t>
            </w:r>
            <w:r w:rsidR="00AF6BE8">
              <w:rPr>
                <w:noProof/>
                <w:webHidden/>
              </w:rPr>
              <w:tab/>
            </w:r>
            <w:r w:rsidR="00AF6BE8">
              <w:rPr>
                <w:noProof/>
                <w:webHidden/>
              </w:rPr>
              <w:fldChar w:fldCharType="begin"/>
            </w:r>
            <w:r w:rsidR="00AF6BE8">
              <w:rPr>
                <w:noProof/>
                <w:webHidden/>
              </w:rPr>
              <w:instrText xml:space="preserve"> PAGEREF _Toc93557858 \h </w:instrText>
            </w:r>
            <w:r w:rsidR="00AF6BE8">
              <w:rPr>
                <w:noProof/>
                <w:webHidden/>
              </w:rPr>
            </w:r>
            <w:r w:rsidR="00AF6BE8">
              <w:rPr>
                <w:noProof/>
                <w:webHidden/>
              </w:rPr>
              <w:fldChar w:fldCharType="separate"/>
            </w:r>
            <w:r w:rsidR="00AF6BE8">
              <w:rPr>
                <w:noProof/>
                <w:webHidden/>
              </w:rPr>
              <w:t>6</w:t>
            </w:r>
            <w:r w:rsidR="00AF6BE8">
              <w:rPr>
                <w:noProof/>
                <w:webHidden/>
              </w:rPr>
              <w:fldChar w:fldCharType="end"/>
            </w:r>
          </w:hyperlink>
        </w:p>
        <w:p w14:paraId="2943279D" w14:textId="6A741F33" w:rsidR="00AF6BE8" w:rsidRDefault="0043130C">
          <w:pPr>
            <w:pStyle w:val="TOC2"/>
            <w:tabs>
              <w:tab w:val="right" w:leader="dot" w:pos="9350"/>
            </w:tabs>
            <w:rPr>
              <w:rFonts w:eastAsiaTheme="minorEastAsia"/>
              <w:noProof/>
            </w:rPr>
          </w:pPr>
          <w:hyperlink w:anchor="_Toc93557859" w:history="1">
            <w:r w:rsidR="00AF6BE8" w:rsidRPr="002A758B">
              <w:rPr>
                <w:rStyle w:val="Hyperlink"/>
                <w:noProof/>
              </w:rPr>
              <w:t>Hearing Aids</w:t>
            </w:r>
            <w:r w:rsidR="00AF6BE8">
              <w:rPr>
                <w:noProof/>
                <w:webHidden/>
              </w:rPr>
              <w:tab/>
            </w:r>
            <w:r w:rsidR="00AF6BE8">
              <w:rPr>
                <w:noProof/>
                <w:webHidden/>
              </w:rPr>
              <w:fldChar w:fldCharType="begin"/>
            </w:r>
            <w:r w:rsidR="00AF6BE8">
              <w:rPr>
                <w:noProof/>
                <w:webHidden/>
              </w:rPr>
              <w:instrText xml:space="preserve"> PAGEREF _Toc93557859 \h </w:instrText>
            </w:r>
            <w:r w:rsidR="00AF6BE8">
              <w:rPr>
                <w:noProof/>
                <w:webHidden/>
              </w:rPr>
            </w:r>
            <w:r w:rsidR="00AF6BE8">
              <w:rPr>
                <w:noProof/>
                <w:webHidden/>
              </w:rPr>
              <w:fldChar w:fldCharType="separate"/>
            </w:r>
            <w:r w:rsidR="00AF6BE8">
              <w:rPr>
                <w:noProof/>
                <w:webHidden/>
              </w:rPr>
              <w:t>7</w:t>
            </w:r>
            <w:r w:rsidR="00AF6BE8">
              <w:rPr>
                <w:noProof/>
                <w:webHidden/>
              </w:rPr>
              <w:fldChar w:fldCharType="end"/>
            </w:r>
          </w:hyperlink>
        </w:p>
        <w:p w14:paraId="10537ACB" w14:textId="099C3C49" w:rsidR="00AF6BE8" w:rsidRDefault="0043130C">
          <w:pPr>
            <w:pStyle w:val="TOC3"/>
            <w:tabs>
              <w:tab w:val="right" w:leader="dot" w:pos="9350"/>
            </w:tabs>
            <w:rPr>
              <w:rFonts w:eastAsiaTheme="minorEastAsia"/>
              <w:noProof/>
            </w:rPr>
          </w:pPr>
          <w:hyperlink w:anchor="_Toc93557860" w:history="1">
            <w:r w:rsidR="00AF6BE8" w:rsidRPr="002A758B">
              <w:rPr>
                <w:rStyle w:val="Hyperlink"/>
                <w:noProof/>
              </w:rPr>
              <w:t>Alignment with Vermont Health Care Reform Goals</w:t>
            </w:r>
            <w:r w:rsidR="00AF6BE8">
              <w:rPr>
                <w:noProof/>
                <w:webHidden/>
              </w:rPr>
              <w:tab/>
            </w:r>
            <w:r w:rsidR="00AF6BE8">
              <w:rPr>
                <w:noProof/>
                <w:webHidden/>
              </w:rPr>
              <w:fldChar w:fldCharType="begin"/>
            </w:r>
            <w:r w:rsidR="00AF6BE8">
              <w:rPr>
                <w:noProof/>
                <w:webHidden/>
              </w:rPr>
              <w:instrText xml:space="preserve"> PAGEREF _Toc93557860 \h </w:instrText>
            </w:r>
            <w:r w:rsidR="00AF6BE8">
              <w:rPr>
                <w:noProof/>
                <w:webHidden/>
              </w:rPr>
            </w:r>
            <w:r w:rsidR="00AF6BE8">
              <w:rPr>
                <w:noProof/>
                <w:webHidden/>
              </w:rPr>
              <w:fldChar w:fldCharType="separate"/>
            </w:r>
            <w:r w:rsidR="00AF6BE8">
              <w:rPr>
                <w:noProof/>
                <w:webHidden/>
              </w:rPr>
              <w:t>7</w:t>
            </w:r>
            <w:r w:rsidR="00AF6BE8">
              <w:rPr>
                <w:noProof/>
                <w:webHidden/>
              </w:rPr>
              <w:fldChar w:fldCharType="end"/>
            </w:r>
          </w:hyperlink>
        </w:p>
        <w:p w14:paraId="6D9A7F88" w14:textId="307225AF" w:rsidR="00AF6BE8" w:rsidRDefault="0043130C">
          <w:pPr>
            <w:pStyle w:val="TOC2"/>
            <w:tabs>
              <w:tab w:val="right" w:leader="dot" w:pos="9350"/>
            </w:tabs>
            <w:rPr>
              <w:rFonts w:eastAsiaTheme="minorEastAsia"/>
              <w:noProof/>
            </w:rPr>
          </w:pPr>
          <w:hyperlink w:anchor="_Toc93557861" w:history="1">
            <w:r w:rsidR="00AF6BE8" w:rsidRPr="002A758B">
              <w:rPr>
                <w:rStyle w:val="Hyperlink"/>
                <w:noProof/>
              </w:rPr>
              <w:t>Infertility Coverage</w:t>
            </w:r>
            <w:r w:rsidR="00AF6BE8">
              <w:rPr>
                <w:noProof/>
                <w:webHidden/>
              </w:rPr>
              <w:tab/>
            </w:r>
            <w:r w:rsidR="00AF6BE8">
              <w:rPr>
                <w:noProof/>
                <w:webHidden/>
              </w:rPr>
              <w:fldChar w:fldCharType="begin"/>
            </w:r>
            <w:r w:rsidR="00AF6BE8">
              <w:rPr>
                <w:noProof/>
                <w:webHidden/>
              </w:rPr>
              <w:instrText xml:space="preserve"> PAGEREF _Toc93557861 \h </w:instrText>
            </w:r>
            <w:r w:rsidR="00AF6BE8">
              <w:rPr>
                <w:noProof/>
                <w:webHidden/>
              </w:rPr>
            </w:r>
            <w:r w:rsidR="00AF6BE8">
              <w:rPr>
                <w:noProof/>
                <w:webHidden/>
              </w:rPr>
              <w:fldChar w:fldCharType="separate"/>
            </w:r>
            <w:r w:rsidR="00AF6BE8">
              <w:rPr>
                <w:noProof/>
                <w:webHidden/>
              </w:rPr>
              <w:t>8</w:t>
            </w:r>
            <w:r w:rsidR="00AF6BE8">
              <w:rPr>
                <w:noProof/>
                <w:webHidden/>
              </w:rPr>
              <w:fldChar w:fldCharType="end"/>
            </w:r>
          </w:hyperlink>
        </w:p>
        <w:p w14:paraId="5B1B70AD" w14:textId="304922C4" w:rsidR="00AF6BE8" w:rsidRDefault="0043130C">
          <w:pPr>
            <w:pStyle w:val="TOC3"/>
            <w:tabs>
              <w:tab w:val="right" w:leader="dot" w:pos="9350"/>
            </w:tabs>
            <w:rPr>
              <w:rFonts w:eastAsiaTheme="minorEastAsia"/>
              <w:noProof/>
            </w:rPr>
          </w:pPr>
          <w:hyperlink w:anchor="_Toc93557862" w:history="1">
            <w:r w:rsidR="00AF6BE8" w:rsidRPr="002A758B">
              <w:rPr>
                <w:rStyle w:val="Hyperlink"/>
                <w:noProof/>
              </w:rPr>
              <w:t>Alignment with Health Care Reform Goals</w:t>
            </w:r>
            <w:r w:rsidR="00AF6BE8">
              <w:rPr>
                <w:noProof/>
                <w:webHidden/>
              </w:rPr>
              <w:tab/>
            </w:r>
            <w:r w:rsidR="00AF6BE8">
              <w:rPr>
                <w:noProof/>
                <w:webHidden/>
              </w:rPr>
              <w:fldChar w:fldCharType="begin"/>
            </w:r>
            <w:r w:rsidR="00AF6BE8">
              <w:rPr>
                <w:noProof/>
                <w:webHidden/>
              </w:rPr>
              <w:instrText xml:space="preserve"> PAGEREF _Toc93557862 \h </w:instrText>
            </w:r>
            <w:r w:rsidR="00AF6BE8">
              <w:rPr>
                <w:noProof/>
                <w:webHidden/>
              </w:rPr>
            </w:r>
            <w:r w:rsidR="00AF6BE8">
              <w:rPr>
                <w:noProof/>
                <w:webHidden/>
              </w:rPr>
              <w:fldChar w:fldCharType="separate"/>
            </w:r>
            <w:r w:rsidR="00AF6BE8">
              <w:rPr>
                <w:noProof/>
                <w:webHidden/>
              </w:rPr>
              <w:t>9</w:t>
            </w:r>
            <w:r w:rsidR="00AF6BE8">
              <w:rPr>
                <w:noProof/>
                <w:webHidden/>
              </w:rPr>
              <w:fldChar w:fldCharType="end"/>
            </w:r>
          </w:hyperlink>
        </w:p>
        <w:p w14:paraId="46BE88D2" w14:textId="2817CF6C" w:rsidR="00AF6BE8" w:rsidRDefault="0043130C">
          <w:pPr>
            <w:pStyle w:val="TOC2"/>
            <w:tabs>
              <w:tab w:val="right" w:leader="dot" w:pos="9350"/>
            </w:tabs>
            <w:rPr>
              <w:rFonts w:eastAsiaTheme="minorEastAsia"/>
              <w:noProof/>
            </w:rPr>
          </w:pPr>
          <w:hyperlink w:anchor="_Toc93557863" w:history="1">
            <w:r w:rsidR="00AF6BE8" w:rsidRPr="002A758B">
              <w:rPr>
                <w:rStyle w:val="Hyperlink"/>
                <w:noProof/>
              </w:rPr>
              <w:t>Dental and Vision Care</w:t>
            </w:r>
            <w:r w:rsidR="00AF6BE8">
              <w:rPr>
                <w:noProof/>
                <w:webHidden/>
              </w:rPr>
              <w:tab/>
            </w:r>
            <w:r w:rsidR="00AF6BE8">
              <w:rPr>
                <w:noProof/>
                <w:webHidden/>
              </w:rPr>
              <w:fldChar w:fldCharType="begin"/>
            </w:r>
            <w:r w:rsidR="00AF6BE8">
              <w:rPr>
                <w:noProof/>
                <w:webHidden/>
              </w:rPr>
              <w:instrText xml:space="preserve"> PAGEREF _Toc93557863 \h </w:instrText>
            </w:r>
            <w:r w:rsidR="00AF6BE8">
              <w:rPr>
                <w:noProof/>
                <w:webHidden/>
              </w:rPr>
            </w:r>
            <w:r w:rsidR="00AF6BE8">
              <w:rPr>
                <w:noProof/>
                <w:webHidden/>
              </w:rPr>
              <w:fldChar w:fldCharType="separate"/>
            </w:r>
            <w:r w:rsidR="00AF6BE8">
              <w:rPr>
                <w:noProof/>
                <w:webHidden/>
              </w:rPr>
              <w:t>9</w:t>
            </w:r>
            <w:r w:rsidR="00AF6BE8">
              <w:rPr>
                <w:noProof/>
                <w:webHidden/>
              </w:rPr>
              <w:fldChar w:fldCharType="end"/>
            </w:r>
          </w:hyperlink>
        </w:p>
        <w:p w14:paraId="1693B051" w14:textId="47DD5FB0" w:rsidR="00AF6BE8" w:rsidRDefault="0043130C">
          <w:pPr>
            <w:pStyle w:val="TOC3"/>
            <w:tabs>
              <w:tab w:val="right" w:leader="dot" w:pos="9350"/>
            </w:tabs>
            <w:rPr>
              <w:rFonts w:eastAsiaTheme="minorEastAsia"/>
              <w:noProof/>
            </w:rPr>
          </w:pPr>
          <w:hyperlink w:anchor="_Toc93557864" w:history="1">
            <w:r w:rsidR="00AF6BE8" w:rsidRPr="002A758B">
              <w:rPr>
                <w:rStyle w:val="Hyperlink"/>
                <w:noProof/>
              </w:rPr>
              <w:t>Alignment with Health Care Reform Goals</w:t>
            </w:r>
            <w:r w:rsidR="00AF6BE8">
              <w:rPr>
                <w:noProof/>
                <w:webHidden/>
              </w:rPr>
              <w:tab/>
            </w:r>
            <w:r w:rsidR="00AF6BE8">
              <w:rPr>
                <w:noProof/>
                <w:webHidden/>
              </w:rPr>
              <w:fldChar w:fldCharType="begin"/>
            </w:r>
            <w:r w:rsidR="00AF6BE8">
              <w:rPr>
                <w:noProof/>
                <w:webHidden/>
              </w:rPr>
              <w:instrText xml:space="preserve"> PAGEREF _Toc93557864 \h </w:instrText>
            </w:r>
            <w:r w:rsidR="00AF6BE8">
              <w:rPr>
                <w:noProof/>
                <w:webHidden/>
              </w:rPr>
            </w:r>
            <w:r w:rsidR="00AF6BE8">
              <w:rPr>
                <w:noProof/>
                <w:webHidden/>
              </w:rPr>
              <w:fldChar w:fldCharType="separate"/>
            </w:r>
            <w:r w:rsidR="00AF6BE8">
              <w:rPr>
                <w:noProof/>
                <w:webHidden/>
              </w:rPr>
              <w:t>10</w:t>
            </w:r>
            <w:r w:rsidR="00AF6BE8">
              <w:rPr>
                <w:noProof/>
                <w:webHidden/>
              </w:rPr>
              <w:fldChar w:fldCharType="end"/>
            </w:r>
          </w:hyperlink>
        </w:p>
        <w:p w14:paraId="3ADFC69A" w14:textId="22C2AF05" w:rsidR="00AF6BE8" w:rsidRDefault="0043130C">
          <w:pPr>
            <w:pStyle w:val="TOC2"/>
            <w:tabs>
              <w:tab w:val="right" w:leader="dot" w:pos="9350"/>
            </w:tabs>
            <w:rPr>
              <w:rFonts w:eastAsiaTheme="minorEastAsia"/>
              <w:noProof/>
            </w:rPr>
          </w:pPr>
          <w:hyperlink w:anchor="_Toc93557865" w:history="1">
            <w:r w:rsidR="00AF6BE8" w:rsidRPr="002A758B">
              <w:rPr>
                <w:rStyle w:val="Hyperlink"/>
                <w:noProof/>
              </w:rPr>
              <w:t>Durable Medical Equipment</w:t>
            </w:r>
            <w:r w:rsidR="00AF6BE8">
              <w:rPr>
                <w:noProof/>
                <w:webHidden/>
              </w:rPr>
              <w:tab/>
            </w:r>
            <w:r w:rsidR="00AF6BE8">
              <w:rPr>
                <w:noProof/>
                <w:webHidden/>
              </w:rPr>
              <w:fldChar w:fldCharType="begin"/>
            </w:r>
            <w:r w:rsidR="00AF6BE8">
              <w:rPr>
                <w:noProof/>
                <w:webHidden/>
              </w:rPr>
              <w:instrText xml:space="preserve"> PAGEREF _Toc93557865 \h </w:instrText>
            </w:r>
            <w:r w:rsidR="00AF6BE8">
              <w:rPr>
                <w:noProof/>
                <w:webHidden/>
              </w:rPr>
            </w:r>
            <w:r w:rsidR="00AF6BE8">
              <w:rPr>
                <w:noProof/>
                <w:webHidden/>
              </w:rPr>
              <w:fldChar w:fldCharType="separate"/>
            </w:r>
            <w:r w:rsidR="00AF6BE8">
              <w:rPr>
                <w:noProof/>
                <w:webHidden/>
              </w:rPr>
              <w:t>10</w:t>
            </w:r>
            <w:r w:rsidR="00AF6BE8">
              <w:rPr>
                <w:noProof/>
                <w:webHidden/>
              </w:rPr>
              <w:fldChar w:fldCharType="end"/>
            </w:r>
          </w:hyperlink>
        </w:p>
        <w:p w14:paraId="35D2DE1C" w14:textId="39F4D554" w:rsidR="00AF6BE8" w:rsidRDefault="0043130C">
          <w:pPr>
            <w:pStyle w:val="TOC2"/>
            <w:tabs>
              <w:tab w:val="right" w:leader="dot" w:pos="9350"/>
            </w:tabs>
            <w:rPr>
              <w:rFonts w:eastAsiaTheme="minorEastAsia"/>
              <w:noProof/>
            </w:rPr>
          </w:pPr>
          <w:hyperlink w:anchor="_Toc93557866" w:history="1">
            <w:r w:rsidR="00AF6BE8" w:rsidRPr="002A758B">
              <w:rPr>
                <w:rStyle w:val="Hyperlink"/>
                <w:noProof/>
              </w:rPr>
              <w:t>Medically Tailored Meals and Nutritional Counseling</w:t>
            </w:r>
            <w:r w:rsidR="00AF6BE8">
              <w:rPr>
                <w:noProof/>
                <w:webHidden/>
              </w:rPr>
              <w:tab/>
            </w:r>
            <w:r w:rsidR="00AF6BE8">
              <w:rPr>
                <w:noProof/>
                <w:webHidden/>
              </w:rPr>
              <w:fldChar w:fldCharType="begin"/>
            </w:r>
            <w:r w:rsidR="00AF6BE8">
              <w:rPr>
                <w:noProof/>
                <w:webHidden/>
              </w:rPr>
              <w:instrText xml:space="preserve"> PAGEREF _Toc93557866 \h </w:instrText>
            </w:r>
            <w:r w:rsidR="00AF6BE8">
              <w:rPr>
                <w:noProof/>
                <w:webHidden/>
              </w:rPr>
            </w:r>
            <w:r w:rsidR="00AF6BE8">
              <w:rPr>
                <w:noProof/>
                <w:webHidden/>
              </w:rPr>
              <w:fldChar w:fldCharType="separate"/>
            </w:r>
            <w:r w:rsidR="00AF6BE8">
              <w:rPr>
                <w:noProof/>
                <w:webHidden/>
              </w:rPr>
              <w:t>10</w:t>
            </w:r>
            <w:r w:rsidR="00AF6BE8">
              <w:rPr>
                <w:noProof/>
                <w:webHidden/>
              </w:rPr>
              <w:fldChar w:fldCharType="end"/>
            </w:r>
          </w:hyperlink>
        </w:p>
        <w:p w14:paraId="759F9BAE" w14:textId="6C29BFDE" w:rsidR="00AF6BE8" w:rsidRDefault="0043130C">
          <w:pPr>
            <w:pStyle w:val="TOC3"/>
            <w:tabs>
              <w:tab w:val="right" w:leader="dot" w:pos="9350"/>
            </w:tabs>
            <w:rPr>
              <w:rFonts w:eastAsiaTheme="minorEastAsia"/>
              <w:noProof/>
            </w:rPr>
          </w:pPr>
          <w:hyperlink w:anchor="_Toc93557867" w:history="1">
            <w:r w:rsidR="00AF6BE8" w:rsidRPr="002A758B">
              <w:rPr>
                <w:rStyle w:val="Hyperlink"/>
                <w:noProof/>
              </w:rPr>
              <w:t>Alignment with Health Care Reform Goals</w:t>
            </w:r>
            <w:r w:rsidR="00AF6BE8">
              <w:rPr>
                <w:noProof/>
                <w:webHidden/>
              </w:rPr>
              <w:tab/>
            </w:r>
            <w:r w:rsidR="00AF6BE8">
              <w:rPr>
                <w:noProof/>
                <w:webHidden/>
              </w:rPr>
              <w:fldChar w:fldCharType="begin"/>
            </w:r>
            <w:r w:rsidR="00AF6BE8">
              <w:rPr>
                <w:noProof/>
                <w:webHidden/>
              </w:rPr>
              <w:instrText xml:space="preserve"> PAGEREF _Toc93557867 \h </w:instrText>
            </w:r>
            <w:r w:rsidR="00AF6BE8">
              <w:rPr>
                <w:noProof/>
                <w:webHidden/>
              </w:rPr>
            </w:r>
            <w:r w:rsidR="00AF6BE8">
              <w:rPr>
                <w:noProof/>
                <w:webHidden/>
              </w:rPr>
              <w:fldChar w:fldCharType="separate"/>
            </w:r>
            <w:r w:rsidR="00AF6BE8">
              <w:rPr>
                <w:noProof/>
                <w:webHidden/>
              </w:rPr>
              <w:t>11</w:t>
            </w:r>
            <w:r w:rsidR="00AF6BE8">
              <w:rPr>
                <w:noProof/>
                <w:webHidden/>
              </w:rPr>
              <w:fldChar w:fldCharType="end"/>
            </w:r>
          </w:hyperlink>
        </w:p>
        <w:p w14:paraId="0724554E" w14:textId="6DCB7891" w:rsidR="00AF6BE8" w:rsidRDefault="0043130C">
          <w:pPr>
            <w:pStyle w:val="TOC2"/>
            <w:tabs>
              <w:tab w:val="right" w:leader="dot" w:pos="9350"/>
            </w:tabs>
            <w:rPr>
              <w:rFonts w:eastAsiaTheme="minorEastAsia"/>
              <w:noProof/>
            </w:rPr>
          </w:pPr>
          <w:hyperlink w:anchor="_Toc93557868" w:history="1">
            <w:r w:rsidR="00AF6BE8" w:rsidRPr="002A758B">
              <w:rPr>
                <w:rStyle w:val="Hyperlink"/>
                <w:noProof/>
              </w:rPr>
              <w:t>Primary Care</w:t>
            </w:r>
            <w:r w:rsidR="00AF6BE8">
              <w:rPr>
                <w:noProof/>
                <w:webHidden/>
              </w:rPr>
              <w:tab/>
            </w:r>
            <w:r w:rsidR="00AF6BE8">
              <w:rPr>
                <w:noProof/>
                <w:webHidden/>
              </w:rPr>
              <w:fldChar w:fldCharType="begin"/>
            </w:r>
            <w:r w:rsidR="00AF6BE8">
              <w:rPr>
                <w:noProof/>
                <w:webHidden/>
              </w:rPr>
              <w:instrText xml:space="preserve"> PAGEREF _Toc93557868 \h </w:instrText>
            </w:r>
            <w:r w:rsidR="00AF6BE8">
              <w:rPr>
                <w:noProof/>
                <w:webHidden/>
              </w:rPr>
            </w:r>
            <w:r w:rsidR="00AF6BE8">
              <w:rPr>
                <w:noProof/>
                <w:webHidden/>
              </w:rPr>
              <w:fldChar w:fldCharType="separate"/>
            </w:r>
            <w:r w:rsidR="00AF6BE8">
              <w:rPr>
                <w:noProof/>
                <w:webHidden/>
              </w:rPr>
              <w:t>11</w:t>
            </w:r>
            <w:r w:rsidR="00AF6BE8">
              <w:rPr>
                <w:noProof/>
                <w:webHidden/>
              </w:rPr>
              <w:fldChar w:fldCharType="end"/>
            </w:r>
          </w:hyperlink>
        </w:p>
        <w:p w14:paraId="17E944D0" w14:textId="4FE51B36" w:rsidR="00AF6BE8" w:rsidRDefault="0043130C">
          <w:pPr>
            <w:pStyle w:val="TOC1"/>
            <w:tabs>
              <w:tab w:val="left" w:pos="440"/>
            </w:tabs>
            <w:rPr>
              <w:rFonts w:eastAsiaTheme="minorEastAsia"/>
              <w:noProof/>
            </w:rPr>
          </w:pPr>
          <w:hyperlink w:anchor="_Toc93557869" w:history="1">
            <w:r w:rsidR="00AF6BE8" w:rsidRPr="002A758B">
              <w:rPr>
                <w:rStyle w:val="Hyperlink"/>
                <w:noProof/>
              </w:rPr>
              <w:t>V.</w:t>
            </w:r>
            <w:r w:rsidR="00AF6BE8">
              <w:rPr>
                <w:rFonts w:eastAsiaTheme="minorEastAsia"/>
                <w:noProof/>
              </w:rPr>
              <w:tab/>
            </w:r>
            <w:r w:rsidR="00AF6BE8" w:rsidRPr="002A758B">
              <w:rPr>
                <w:rStyle w:val="Hyperlink"/>
                <w:noProof/>
              </w:rPr>
              <w:t>Findings</w:t>
            </w:r>
            <w:r w:rsidR="00AF6BE8">
              <w:rPr>
                <w:noProof/>
                <w:webHidden/>
              </w:rPr>
              <w:tab/>
            </w:r>
            <w:r w:rsidR="00AF6BE8">
              <w:rPr>
                <w:noProof/>
                <w:webHidden/>
              </w:rPr>
              <w:fldChar w:fldCharType="begin"/>
            </w:r>
            <w:r w:rsidR="00AF6BE8">
              <w:rPr>
                <w:noProof/>
                <w:webHidden/>
              </w:rPr>
              <w:instrText xml:space="preserve"> PAGEREF _Toc93557869 \h </w:instrText>
            </w:r>
            <w:r w:rsidR="00AF6BE8">
              <w:rPr>
                <w:noProof/>
                <w:webHidden/>
              </w:rPr>
            </w:r>
            <w:r w:rsidR="00AF6BE8">
              <w:rPr>
                <w:noProof/>
                <w:webHidden/>
              </w:rPr>
              <w:fldChar w:fldCharType="separate"/>
            </w:r>
            <w:r w:rsidR="00AF6BE8">
              <w:rPr>
                <w:noProof/>
                <w:webHidden/>
              </w:rPr>
              <w:t>12</w:t>
            </w:r>
            <w:r w:rsidR="00AF6BE8">
              <w:rPr>
                <w:noProof/>
                <w:webHidden/>
              </w:rPr>
              <w:fldChar w:fldCharType="end"/>
            </w:r>
          </w:hyperlink>
        </w:p>
        <w:p w14:paraId="6B01B13B" w14:textId="3E88E3AB" w:rsidR="00AF6BE8" w:rsidRDefault="0043130C">
          <w:pPr>
            <w:pStyle w:val="TOC2"/>
            <w:tabs>
              <w:tab w:val="right" w:leader="dot" w:pos="9350"/>
            </w:tabs>
            <w:rPr>
              <w:rFonts w:eastAsiaTheme="minorEastAsia"/>
              <w:noProof/>
            </w:rPr>
          </w:pPr>
          <w:hyperlink w:anchor="_Toc93557870" w:history="1">
            <w:r w:rsidR="00AF6BE8" w:rsidRPr="002A758B">
              <w:rPr>
                <w:rStyle w:val="Hyperlink"/>
                <w:noProof/>
              </w:rPr>
              <w:t>Plan and Benefit Analysis</w:t>
            </w:r>
            <w:r w:rsidR="00AF6BE8">
              <w:rPr>
                <w:noProof/>
                <w:webHidden/>
              </w:rPr>
              <w:tab/>
            </w:r>
            <w:r w:rsidR="00AF6BE8">
              <w:rPr>
                <w:noProof/>
                <w:webHidden/>
              </w:rPr>
              <w:fldChar w:fldCharType="begin"/>
            </w:r>
            <w:r w:rsidR="00AF6BE8">
              <w:rPr>
                <w:noProof/>
                <w:webHidden/>
              </w:rPr>
              <w:instrText xml:space="preserve"> PAGEREF _Toc93557870 \h </w:instrText>
            </w:r>
            <w:r w:rsidR="00AF6BE8">
              <w:rPr>
                <w:noProof/>
                <w:webHidden/>
              </w:rPr>
            </w:r>
            <w:r w:rsidR="00AF6BE8">
              <w:rPr>
                <w:noProof/>
                <w:webHidden/>
              </w:rPr>
              <w:fldChar w:fldCharType="separate"/>
            </w:r>
            <w:r w:rsidR="00AF6BE8">
              <w:rPr>
                <w:noProof/>
                <w:webHidden/>
              </w:rPr>
              <w:t>12</w:t>
            </w:r>
            <w:r w:rsidR="00AF6BE8">
              <w:rPr>
                <w:noProof/>
                <w:webHidden/>
              </w:rPr>
              <w:fldChar w:fldCharType="end"/>
            </w:r>
          </w:hyperlink>
        </w:p>
        <w:p w14:paraId="3AF92430" w14:textId="5392127A" w:rsidR="00AF6BE8" w:rsidRDefault="0043130C">
          <w:pPr>
            <w:pStyle w:val="TOC3"/>
            <w:tabs>
              <w:tab w:val="right" w:leader="dot" w:pos="9350"/>
            </w:tabs>
            <w:rPr>
              <w:rFonts w:eastAsiaTheme="minorEastAsia"/>
              <w:noProof/>
            </w:rPr>
          </w:pPr>
          <w:hyperlink w:anchor="_Toc93557871" w:history="1">
            <w:r w:rsidR="00AF6BE8" w:rsidRPr="002A758B">
              <w:rPr>
                <w:rStyle w:val="Hyperlink"/>
                <w:noProof/>
              </w:rPr>
              <w:t>Discriminatory Benefits</w:t>
            </w:r>
            <w:r w:rsidR="00AF6BE8">
              <w:rPr>
                <w:noProof/>
                <w:webHidden/>
              </w:rPr>
              <w:tab/>
            </w:r>
            <w:r w:rsidR="00AF6BE8">
              <w:rPr>
                <w:noProof/>
                <w:webHidden/>
              </w:rPr>
              <w:fldChar w:fldCharType="begin"/>
            </w:r>
            <w:r w:rsidR="00AF6BE8">
              <w:rPr>
                <w:noProof/>
                <w:webHidden/>
              </w:rPr>
              <w:instrText xml:space="preserve"> PAGEREF _Toc93557871 \h </w:instrText>
            </w:r>
            <w:r w:rsidR="00AF6BE8">
              <w:rPr>
                <w:noProof/>
                <w:webHidden/>
              </w:rPr>
            </w:r>
            <w:r w:rsidR="00AF6BE8">
              <w:rPr>
                <w:noProof/>
                <w:webHidden/>
              </w:rPr>
              <w:fldChar w:fldCharType="separate"/>
            </w:r>
            <w:r w:rsidR="00AF6BE8">
              <w:rPr>
                <w:noProof/>
                <w:webHidden/>
              </w:rPr>
              <w:t>13</w:t>
            </w:r>
            <w:r w:rsidR="00AF6BE8">
              <w:rPr>
                <w:noProof/>
                <w:webHidden/>
              </w:rPr>
              <w:fldChar w:fldCharType="end"/>
            </w:r>
          </w:hyperlink>
        </w:p>
        <w:p w14:paraId="02EE13BE" w14:textId="491EA077" w:rsidR="00AF6BE8" w:rsidRDefault="0043130C">
          <w:pPr>
            <w:pStyle w:val="TOC3"/>
            <w:tabs>
              <w:tab w:val="right" w:leader="dot" w:pos="9350"/>
            </w:tabs>
            <w:rPr>
              <w:rFonts w:eastAsiaTheme="minorEastAsia"/>
              <w:noProof/>
            </w:rPr>
          </w:pPr>
          <w:hyperlink w:anchor="_Toc93557872" w:history="1">
            <w:r w:rsidR="00AF6BE8" w:rsidRPr="002A758B">
              <w:rPr>
                <w:rStyle w:val="Hyperlink"/>
                <w:noProof/>
              </w:rPr>
              <w:t>Essential Health Benefits</w:t>
            </w:r>
            <w:r w:rsidR="00AF6BE8">
              <w:rPr>
                <w:noProof/>
                <w:webHidden/>
              </w:rPr>
              <w:tab/>
            </w:r>
            <w:r w:rsidR="00AF6BE8">
              <w:rPr>
                <w:noProof/>
                <w:webHidden/>
              </w:rPr>
              <w:fldChar w:fldCharType="begin"/>
            </w:r>
            <w:r w:rsidR="00AF6BE8">
              <w:rPr>
                <w:noProof/>
                <w:webHidden/>
              </w:rPr>
              <w:instrText xml:space="preserve"> PAGEREF _Toc93557872 \h </w:instrText>
            </w:r>
            <w:r w:rsidR="00AF6BE8">
              <w:rPr>
                <w:noProof/>
                <w:webHidden/>
              </w:rPr>
            </w:r>
            <w:r w:rsidR="00AF6BE8">
              <w:rPr>
                <w:noProof/>
                <w:webHidden/>
              </w:rPr>
              <w:fldChar w:fldCharType="separate"/>
            </w:r>
            <w:r w:rsidR="00AF6BE8">
              <w:rPr>
                <w:noProof/>
                <w:webHidden/>
              </w:rPr>
              <w:t>13</w:t>
            </w:r>
            <w:r w:rsidR="00AF6BE8">
              <w:rPr>
                <w:noProof/>
                <w:webHidden/>
              </w:rPr>
              <w:fldChar w:fldCharType="end"/>
            </w:r>
          </w:hyperlink>
        </w:p>
        <w:p w14:paraId="02780C63" w14:textId="7255AAD7" w:rsidR="00AF6BE8" w:rsidRDefault="0043130C">
          <w:pPr>
            <w:pStyle w:val="TOC3"/>
            <w:tabs>
              <w:tab w:val="right" w:leader="dot" w:pos="9350"/>
            </w:tabs>
            <w:rPr>
              <w:rFonts w:eastAsiaTheme="minorEastAsia"/>
              <w:noProof/>
            </w:rPr>
          </w:pPr>
          <w:hyperlink w:anchor="_Toc93557873" w:history="1">
            <w:r w:rsidR="00AF6BE8" w:rsidRPr="002A758B">
              <w:rPr>
                <w:rStyle w:val="Hyperlink"/>
                <w:noProof/>
              </w:rPr>
              <w:t>Non-Essential Health Benefits</w:t>
            </w:r>
            <w:r w:rsidR="00AF6BE8">
              <w:rPr>
                <w:noProof/>
                <w:webHidden/>
              </w:rPr>
              <w:tab/>
            </w:r>
            <w:r w:rsidR="00AF6BE8">
              <w:rPr>
                <w:noProof/>
                <w:webHidden/>
              </w:rPr>
              <w:fldChar w:fldCharType="begin"/>
            </w:r>
            <w:r w:rsidR="00AF6BE8">
              <w:rPr>
                <w:noProof/>
                <w:webHidden/>
              </w:rPr>
              <w:instrText xml:space="preserve"> PAGEREF _Toc93557873 \h </w:instrText>
            </w:r>
            <w:r w:rsidR="00AF6BE8">
              <w:rPr>
                <w:noProof/>
                <w:webHidden/>
              </w:rPr>
            </w:r>
            <w:r w:rsidR="00AF6BE8">
              <w:rPr>
                <w:noProof/>
                <w:webHidden/>
              </w:rPr>
              <w:fldChar w:fldCharType="separate"/>
            </w:r>
            <w:r w:rsidR="00AF6BE8">
              <w:rPr>
                <w:noProof/>
                <w:webHidden/>
              </w:rPr>
              <w:t>14</w:t>
            </w:r>
            <w:r w:rsidR="00AF6BE8">
              <w:rPr>
                <w:noProof/>
                <w:webHidden/>
              </w:rPr>
              <w:fldChar w:fldCharType="end"/>
            </w:r>
          </w:hyperlink>
        </w:p>
        <w:p w14:paraId="527FD376" w14:textId="09B0103D" w:rsidR="00AF6BE8" w:rsidRDefault="0043130C">
          <w:pPr>
            <w:pStyle w:val="TOC1"/>
            <w:rPr>
              <w:rFonts w:eastAsiaTheme="minorEastAsia"/>
              <w:noProof/>
            </w:rPr>
          </w:pPr>
          <w:hyperlink w:anchor="_Toc93557874" w:history="1">
            <w:r w:rsidR="00AF6BE8" w:rsidRPr="002A758B">
              <w:rPr>
                <w:rStyle w:val="Hyperlink"/>
                <w:noProof/>
              </w:rPr>
              <w:t>Conclusion</w:t>
            </w:r>
            <w:r w:rsidR="00AF6BE8">
              <w:rPr>
                <w:noProof/>
                <w:webHidden/>
              </w:rPr>
              <w:tab/>
            </w:r>
            <w:r w:rsidR="00AF6BE8">
              <w:rPr>
                <w:noProof/>
                <w:webHidden/>
              </w:rPr>
              <w:fldChar w:fldCharType="begin"/>
            </w:r>
            <w:r w:rsidR="00AF6BE8">
              <w:rPr>
                <w:noProof/>
                <w:webHidden/>
              </w:rPr>
              <w:instrText xml:space="preserve"> PAGEREF _Toc93557874 \h </w:instrText>
            </w:r>
            <w:r w:rsidR="00AF6BE8">
              <w:rPr>
                <w:noProof/>
                <w:webHidden/>
              </w:rPr>
            </w:r>
            <w:r w:rsidR="00AF6BE8">
              <w:rPr>
                <w:noProof/>
                <w:webHidden/>
              </w:rPr>
              <w:fldChar w:fldCharType="separate"/>
            </w:r>
            <w:r w:rsidR="00AF6BE8">
              <w:rPr>
                <w:noProof/>
                <w:webHidden/>
              </w:rPr>
              <w:t>14</w:t>
            </w:r>
            <w:r w:rsidR="00AF6BE8">
              <w:rPr>
                <w:noProof/>
                <w:webHidden/>
              </w:rPr>
              <w:fldChar w:fldCharType="end"/>
            </w:r>
          </w:hyperlink>
        </w:p>
        <w:p w14:paraId="05E8E59B" w14:textId="77B5A86D" w:rsidR="003D0CE2" w:rsidRPr="00825932" w:rsidRDefault="00C578B7">
          <w:r>
            <w:rPr>
              <w:b/>
              <w:bCs/>
              <w:noProof/>
            </w:rPr>
            <w:fldChar w:fldCharType="end"/>
          </w:r>
        </w:p>
      </w:sdtContent>
    </w:sdt>
    <w:p w14:paraId="0ADA6980" w14:textId="77777777" w:rsidR="00DD3122" w:rsidRDefault="00DD3122">
      <w:pPr>
        <w:rPr>
          <w:rFonts w:asciiTheme="majorHAnsi" w:eastAsiaTheme="majorEastAsia" w:hAnsiTheme="majorHAnsi" w:cstheme="majorBidi"/>
          <w:color w:val="2F5496" w:themeColor="accent1" w:themeShade="BF"/>
          <w:sz w:val="32"/>
          <w:szCs w:val="32"/>
        </w:rPr>
      </w:pPr>
      <w:r>
        <w:br w:type="page"/>
      </w:r>
    </w:p>
    <w:p w14:paraId="5E083BA8" w14:textId="11A89149" w:rsidR="00574131" w:rsidRDefault="00C578B7" w:rsidP="00C93224">
      <w:pPr>
        <w:pStyle w:val="Heading1"/>
        <w:numPr>
          <w:ilvl w:val="0"/>
          <w:numId w:val="15"/>
        </w:numPr>
      </w:pPr>
      <w:bookmarkStart w:id="1" w:name="_Toc93557850"/>
      <w:r>
        <w:lastRenderedPageBreak/>
        <w:t>Introduction</w:t>
      </w:r>
      <w:bookmarkEnd w:id="1"/>
    </w:p>
    <w:p w14:paraId="1F2F0698" w14:textId="77777777" w:rsidR="00135240" w:rsidRPr="00135240" w:rsidRDefault="00135240" w:rsidP="00553814">
      <w:pPr>
        <w:spacing w:after="0"/>
      </w:pPr>
    </w:p>
    <w:p w14:paraId="4EF032E7" w14:textId="77777777" w:rsidR="003F2E03" w:rsidRPr="009B2600" w:rsidRDefault="003F2E03" w:rsidP="003F2E03">
      <w:pPr>
        <w:adjustRightInd w:val="0"/>
        <w:snapToGrid w:val="0"/>
        <w:jc w:val="both"/>
        <w:rPr>
          <w:rFonts w:eastAsiaTheme="minorEastAsia" w:cs="Arial"/>
          <w:color w:val="000000" w:themeColor="text1"/>
        </w:rPr>
      </w:pPr>
      <w:r w:rsidRPr="00FE6DBE">
        <w:rPr>
          <w:rFonts w:cs="Arial"/>
          <w:color w:val="000000" w:themeColor="text1"/>
        </w:rPr>
        <w:t>In accordance with the Legislature’s directive in section</w:t>
      </w:r>
      <w:r>
        <w:rPr>
          <w:rFonts w:cs="Arial"/>
          <w:color w:val="000000" w:themeColor="text1"/>
        </w:rPr>
        <w:t xml:space="preserve"> E.227</w:t>
      </w:r>
      <w:r w:rsidRPr="00FE6DBE">
        <w:rPr>
          <w:rFonts w:cs="Arial"/>
          <w:color w:val="000000" w:themeColor="text1"/>
        </w:rPr>
        <w:t xml:space="preserve"> of Act No. </w:t>
      </w:r>
      <w:r>
        <w:rPr>
          <w:rFonts w:cs="Arial"/>
          <w:color w:val="000000" w:themeColor="text1"/>
        </w:rPr>
        <w:t>74</w:t>
      </w:r>
      <w:r w:rsidRPr="00FE6DBE">
        <w:rPr>
          <w:rFonts w:cs="Arial"/>
          <w:color w:val="000000" w:themeColor="text1"/>
        </w:rPr>
        <w:t xml:space="preserve"> of 2021, the Commissioner of Financial Regulation hereby submits to the House Committee</w:t>
      </w:r>
      <w:r>
        <w:rPr>
          <w:rFonts w:cs="Arial"/>
          <w:color w:val="000000" w:themeColor="text1"/>
        </w:rPr>
        <w:t>s</w:t>
      </w:r>
      <w:r w:rsidRPr="00FE6DBE">
        <w:rPr>
          <w:rFonts w:cs="Arial"/>
          <w:color w:val="000000" w:themeColor="text1"/>
        </w:rPr>
        <w:t xml:space="preserve"> on </w:t>
      </w:r>
      <w:r>
        <w:rPr>
          <w:rFonts w:cs="Arial"/>
          <w:color w:val="000000" w:themeColor="text1"/>
        </w:rPr>
        <w:t>Health Care</w:t>
      </w:r>
      <w:r w:rsidRPr="00FE6DBE">
        <w:rPr>
          <w:rFonts w:cs="Arial"/>
          <w:color w:val="000000" w:themeColor="text1"/>
        </w:rPr>
        <w:t xml:space="preserve"> and</w:t>
      </w:r>
      <w:r>
        <w:rPr>
          <w:rFonts w:cs="Arial"/>
          <w:color w:val="000000" w:themeColor="text1"/>
        </w:rPr>
        <w:t xml:space="preserve"> on Human Services and</w:t>
      </w:r>
      <w:r w:rsidRPr="00FE6DBE">
        <w:rPr>
          <w:rFonts w:cs="Arial"/>
          <w:color w:val="000000" w:themeColor="text1"/>
        </w:rPr>
        <w:t xml:space="preserve"> the Senate Committee</w:t>
      </w:r>
      <w:r>
        <w:rPr>
          <w:rFonts w:cs="Arial"/>
          <w:color w:val="000000" w:themeColor="text1"/>
        </w:rPr>
        <w:t xml:space="preserve"> </w:t>
      </w:r>
      <w:r w:rsidRPr="00FE6DBE">
        <w:rPr>
          <w:rFonts w:cs="Arial"/>
          <w:color w:val="000000" w:themeColor="text1"/>
        </w:rPr>
        <w:t>on Finance</w:t>
      </w:r>
      <w:r>
        <w:rPr>
          <w:rFonts w:cs="Arial"/>
          <w:color w:val="000000" w:themeColor="text1"/>
        </w:rPr>
        <w:t xml:space="preserve"> and on Health and Welfare</w:t>
      </w:r>
      <w:r w:rsidRPr="00FE6DBE">
        <w:rPr>
          <w:rFonts w:cs="Arial"/>
          <w:color w:val="000000" w:themeColor="text1"/>
        </w:rPr>
        <w:t xml:space="preserve"> this report</w:t>
      </w:r>
      <w:r>
        <w:rPr>
          <w:rFonts w:cs="Arial"/>
          <w:color w:val="000000" w:themeColor="text1"/>
        </w:rPr>
        <w:t xml:space="preserve">, which </w:t>
      </w:r>
      <w:r w:rsidRPr="00FE6DBE">
        <w:rPr>
          <w:rFonts w:cs="Arial"/>
          <w:color w:val="000000" w:themeColor="text1"/>
        </w:rPr>
        <w:t>contain</w:t>
      </w:r>
      <w:r>
        <w:rPr>
          <w:rFonts w:cs="Arial"/>
          <w:color w:val="000000" w:themeColor="text1"/>
        </w:rPr>
        <w:t>s</w:t>
      </w:r>
      <w:r w:rsidRPr="00FE6DBE">
        <w:rPr>
          <w:rFonts w:cs="Arial"/>
          <w:color w:val="000000" w:themeColor="text1"/>
        </w:rPr>
        <w:t xml:space="preserve"> </w:t>
      </w:r>
      <w:r>
        <w:rPr>
          <w:rFonts w:cs="Arial"/>
          <w:color w:val="000000" w:themeColor="text1"/>
        </w:rPr>
        <w:t xml:space="preserve">the Department’s </w:t>
      </w:r>
      <w:r w:rsidRPr="00FE6DBE">
        <w:rPr>
          <w:rFonts w:cs="Arial"/>
          <w:color w:val="000000" w:themeColor="text1"/>
        </w:rPr>
        <w:t xml:space="preserve">findings and recommendations on </w:t>
      </w:r>
      <w:r>
        <w:rPr>
          <w:rFonts w:cs="Arial"/>
          <w:color w:val="000000" w:themeColor="text1"/>
        </w:rPr>
        <w:t>(1) alignment of the Essential Health Benefit Benchmark Plan with state health care reform goals and (2) the impact of including additional benefits.</w:t>
      </w:r>
    </w:p>
    <w:p w14:paraId="4F119887" w14:textId="1090AE9F" w:rsidR="009F2E71" w:rsidRDefault="00400343" w:rsidP="00C87BE7">
      <w:pPr>
        <w:jc w:val="both"/>
      </w:pPr>
      <w:r>
        <w:t>The Department of Financial Regulation</w:t>
      </w:r>
      <w:r w:rsidR="003D7D71">
        <w:t xml:space="preserve"> and the </w:t>
      </w:r>
      <w:r>
        <w:t xml:space="preserve">Agency of Human Services, along with several stakeholders, convened a working group to analyze the current Essential Health Benefit (EHB) benchmark plan. </w:t>
      </w:r>
      <w:r w:rsidR="00574131">
        <w:t xml:space="preserve">The </w:t>
      </w:r>
      <w:r w:rsidR="00500478">
        <w:t xml:space="preserve">Department </w:t>
      </w:r>
      <w:r w:rsidR="00905797">
        <w:t>held</w:t>
      </w:r>
      <w:r w:rsidR="00500478">
        <w:t xml:space="preserve"> </w:t>
      </w:r>
      <w:r w:rsidR="00F62F10">
        <w:t>9</w:t>
      </w:r>
      <w:r w:rsidR="003437A7">
        <w:t xml:space="preserve"> meeting</w:t>
      </w:r>
      <w:r w:rsidR="00500478">
        <w:t xml:space="preserve">s with the </w:t>
      </w:r>
      <w:r w:rsidR="00C34A4C">
        <w:t>EHB working group</w:t>
      </w:r>
      <w:r w:rsidR="003437A7">
        <w:t xml:space="preserve"> from August 2021 to January 2022.</w:t>
      </w:r>
      <w:r w:rsidR="00C54AD6">
        <w:t xml:space="preserve"> The</w:t>
      </w:r>
      <w:r w:rsidR="0011037A">
        <w:t xml:space="preserve"> purpose of the meetings was to look at </w:t>
      </w:r>
      <w:r w:rsidR="003F0BC7">
        <w:t xml:space="preserve">whether </w:t>
      </w:r>
      <w:r w:rsidR="0011037A">
        <w:t>the current EHB benchmark plan</w:t>
      </w:r>
      <w:r w:rsidR="00EA48B4">
        <w:t xml:space="preserve"> </w:t>
      </w:r>
      <w:r w:rsidR="006F0BE5">
        <w:t>aligns with</w:t>
      </w:r>
      <w:r w:rsidR="00EA48B4">
        <w:t xml:space="preserve"> the </w:t>
      </w:r>
      <w:r w:rsidR="00680D5C">
        <w:t>State’s</w:t>
      </w:r>
      <w:r w:rsidR="00EA48B4">
        <w:t xml:space="preserve"> Health Improvement Plan and </w:t>
      </w:r>
      <w:r w:rsidR="00160462">
        <w:t xml:space="preserve">All-Payer </w:t>
      </w:r>
      <w:r w:rsidR="00EA48B4">
        <w:t xml:space="preserve">Accountable Care Organization </w:t>
      </w:r>
      <w:r w:rsidR="00160462">
        <w:t xml:space="preserve">(ACO) </w:t>
      </w:r>
      <w:r w:rsidR="00EA48B4">
        <w:t xml:space="preserve">Model Agreement, as well as to examine </w:t>
      </w:r>
      <w:r w:rsidR="007C0D05">
        <w:t xml:space="preserve">the </w:t>
      </w:r>
      <w:r w:rsidR="00820CE2">
        <w:t>potential impacts</w:t>
      </w:r>
      <w:r w:rsidR="007C0D05">
        <w:t xml:space="preserve"> of </w:t>
      </w:r>
      <w:r w:rsidR="00820CE2">
        <w:t>modifying the</w:t>
      </w:r>
      <w:r w:rsidR="00E73388">
        <w:t xml:space="preserve"> plan to include coverage </w:t>
      </w:r>
      <w:r w:rsidR="007E0A4D">
        <w:t xml:space="preserve">of </w:t>
      </w:r>
      <w:r w:rsidR="00E73388">
        <w:t xml:space="preserve">additional benefits. </w:t>
      </w:r>
    </w:p>
    <w:p w14:paraId="5D128C6F" w14:textId="6EE7E2A8" w:rsidR="00400343" w:rsidRPr="00400343" w:rsidRDefault="006B57DC" w:rsidP="00C87BE7">
      <w:pPr>
        <w:jc w:val="both"/>
      </w:pPr>
      <w:r>
        <w:t xml:space="preserve">The analysis of the EHB benchmark plan is being funded by </w:t>
      </w:r>
      <w:r w:rsidR="009F2E71">
        <w:t>the</w:t>
      </w:r>
      <w:r w:rsidR="002257A1" w:rsidRPr="002257A1">
        <w:t xml:space="preserve"> State Flexibility to Stabilize the Market Cycle II Grant Program </w:t>
      </w:r>
      <w:r w:rsidR="002257A1">
        <w:t>awarded to the Department of Financial Regulation by</w:t>
      </w:r>
      <w:r>
        <w:t xml:space="preserve"> </w:t>
      </w:r>
      <w:r w:rsidR="009B4071">
        <w:t>the Centers for Medicare and Medicaid Services (CMS)</w:t>
      </w:r>
      <w:r w:rsidR="00DB2FBD">
        <w:t xml:space="preserve">. </w:t>
      </w:r>
      <w:r w:rsidR="009B4071" w:rsidRPr="009B4071">
        <w:rPr>
          <w:bCs/>
        </w:rPr>
        <w:t>The goal of th</w:t>
      </w:r>
      <w:r w:rsidR="00DB2FBD">
        <w:rPr>
          <w:bCs/>
        </w:rPr>
        <w:t>e grant</w:t>
      </w:r>
      <w:r w:rsidR="003D7D71">
        <w:rPr>
          <w:bCs/>
        </w:rPr>
        <w:t xml:space="preserve">-funded </w:t>
      </w:r>
      <w:r w:rsidR="00DB2FBD">
        <w:rPr>
          <w:bCs/>
        </w:rPr>
        <w:t>work is to</w:t>
      </w:r>
      <w:r w:rsidR="009B4071" w:rsidRPr="009B4071">
        <w:rPr>
          <w:bCs/>
        </w:rPr>
        <w:t xml:space="preserve"> assess whether modification of the plan will increase affordability for consumers and provide an EHB</w:t>
      </w:r>
      <w:r w:rsidR="007164BA">
        <w:rPr>
          <w:bCs/>
        </w:rPr>
        <w:t xml:space="preserve"> b</w:t>
      </w:r>
      <w:r w:rsidR="009B4071" w:rsidRPr="009B4071">
        <w:rPr>
          <w:bCs/>
        </w:rPr>
        <w:t>enchmark plan that best reflects the needs of the State’s health insurance market and population, in accordance with applicable EHB</w:t>
      </w:r>
      <w:r w:rsidR="007164BA">
        <w:rPr>
          <w:bCs/>
        </w:rPr>
        <w:t xml:space="preserve"> b</w:t>
      </w:r>
      <w:r w:rsidR="009B4071" w:rsidRPr="009B4071">
        <w:rPr>
          <w:bCs/>
        </w:rPr>
        <w:t>enchmark plan selection criteria.</w:t>
      </w:r>
    </w:p>
    <w:p w14:paraId="43AD14BD" w14:textId="0B736AAA" w:rsidR="00400343" w:rsidRPr="00400343" w:rsidRDefault="00400343" w:rsidP="00C93224">
      <w:pPr>
        <w:pStyle w:val="Heading1"/>
        <w:numPr>
          <w:ilvl w:val="0"/>
          <w:numId w:val="15"/>
        </w:numPr>
        <w:jc w:val="both"/>
      </w:pPr>
      <w:bookmarkStart w:id="2" w:name="_Toc93557851"/>
      <w:r>
        <w:t>Background</w:t>
      </w:r>
      <w:bookmarkEnd w:id="2"/>
      <w:r>
        <w:t xml:space="preserve"> </w:t>
      </w:r>
    </w:p>
    <w:p w14:paraId="39D8B01B" w14:textId="77777777" w:rsidR="00E8012A" w:rsidRDefault="00E8012A" w:rsidP="00C87BE7">
      <w:pPr>
        <w:spacing w:after="0"/>
        <w:jc w:val="both"/>
      </w:pPr>
    </w:p>
    <w:p w14:paraId="3164C3C7" w14:textId="643AA1B5" w:rsidR="00295683" w:rsidRDefault="00BD0711" w:rsidP="00C87BE7">
      <w:pPr>
        <w:jc w:val="both"/>
      </w:pPr>
      <w:r>
        <w:t>The</w:t>
      </w:r>
      <w:r w:rsidR="00F10436">
        <w:t xml:space="preserve"> Affordable Care Act</w:t>
      </w:r>
      <w:r w:rsidR="0022361B">
        <w:t xml:space="preserve"> require</w:t>
      </w:r>
      <w:r w:rsidR="00DD0A67">
        <w:t>s</w:t>
      </w:r>
      <w:r w:rsidR="0022361B">
        <w:t xml:space="preserve"> individual and small group plans to cover 10 categories of</w:t>
      </w:r>
      <w:r w:rsidR="00D732EB">
        <w:t xml:space="preserve"> </w:t>
      </w:r>
      <w:r w:rsidR="00C87197">
        <w:t>essential health benefits</w:t>
      </w:r>
      <w:r w:rsidR="00C21B47">
        <w:t xml:space="preserve"> </w:t>
      </w:r>
      <w:r w:rsidR="00DC3E22">
        <w:t>(EH</w:t>
      </w:r>
      <w:r w:rsidR="008D29A8">
        <w:t>B</w:t>
      </w:r>
      <w:r w:rsidR="00DC3E22">
        <w:t>s)</w:t>
      </w:r>
      <w:r w:rsidR="00550738">
        <w:t xml:space="preserve">. </w:t>
      </w:r>
      <w:r w:rsidR="00E91755" w:rsidRPr="003C3370">
        <w:t>42 U.S.C. § 18022.</w:t>
      </w:r>
      <w:r w:rsidR="00E91755">
        <w:t xml:space="preserve"> </w:t>
      </w:r>
      <w:r w:rsidR="00550738">
        <w:t xml:space="preserve">The </w:t>
      </w:r>
      <w:r w:rsidR="00DC3E22">
        <w:t>EHB categories</w:t>
      </w:r>
      <w:r w:rsidR="002F1CBC">
        <w:t xml:space="preserve"> are</w:t>
      </w:r>
      <w:r w:rsidR="00DC3E22">
        <w:t>:</w:t>
      </w:r>
    </w:p>
    <w:p w14:paraId="4DC6607A" w14:textId="63DA6696" w:rsidR="00295683" w:rsidRDefault="00295683" w:rsidP="00C87BE7">
      <w:pPr>
        <w:pStyle w:val="ListParagraph"/>
        <w:numPr>
          <w:ilvl w:val="0"/>
          <w:numId w:val="5"/>
        </w:numPr>
        <w:jc w:val="both"/>
      </w:pPr>
      <w:r>
        <w:t>Ambulatory patient services.</w:t>
      </w:r>
    </w:p>
    <w:p w14:paraId="4E700DC6" w14:textId="219392CA" w:rsidR="00295683" w:rsidRDefault="00295683" w:rsidP="00C87BE7">
      <w:pPr>
        <w:pStyle w:val="ListParagraph"/>
        <w:numPr>
          <w:ilvl w:val="0"/>
          <w:numId w:val="5"/>
        </w:numPr>
        <w:jc w:val="both"/>
      </w:pPr>
      <w:r>
        <w:t>Emergency services.</w:t>
      </w:r>
    </w:p>
    <w:p w14:paraId="3BCD3C85" w14:textId="0297B53E" w:rsidR="00295683" w:rsidRDefault="00295683" w:rsidP="00C87BE7">
      <w:pPr>
        <w:pStyle w:val="ListParagraph"/>
        <w:numPr>
          <w:ilvl w:val="0"/>
          <w:numId w:val="5"/>
        </w:numPr>
        <w:jc w:val="both"/>
      </w:pPr>
      <w:r>
        <w:t>Hospitalization.</w:t>
      </w:r>
    </w:p>
    <w:p w14:paraId="4B97A11E" w14:textId="1F9329F7" w:rsidR="00295683" w:rsidRDefault="00295683" w:rsidP="00C87BE7">
      <w:pPr>
        <w:pStyle w:val="ListParagraph"/>
        <w:numPr>
          <w:ilvl w:val="0"/>
          <w:numId w:val="5"/>
        </w:numPr>
        <w:jc w:val="both"/>
      </w:pPr>
      <w:r>
        <w:t>Maternity and newborn care.</w:t>
      </w:r>
    </w:p>
    <w:p w14:paraId="130CDDD5" w14:textId="29C02D25" w:rsidR="00295683" w:rsidRDefault="00295683" w:rsidP="00C87BE7">
      <w:pPr>
        <w:pStyle w:val="ListParagraph"/>
        <w:numPr>
          <w:ilvl w:val="0"/>
          <w:numId w:val="5"/>
        </w:numPr>
        <w:jc w:val="both"/>
      </w:pPr>
      <w:r>
        <w:t>Mental health and substance use disorder services, including behavioral health treatment.</w:t>
      </w:r>
    </w:p>
    <w:p w14:paraId="6FA6F75D" w14:textId="45B0EE12" w:rsidR="00295683" w:rsidRDefault="00295683" w:rsidP="00C87BE7">
      <w:pPr>
        <w:pStyle w:val="ListParagraph"/>
        <w:numPr>
          <w:ilvl w:val="0"/>
          <w:numId w:val="5"/>
        </w:numPr>
        <w:jc w:val="both"/>
      </w:pPr>
      <w:r>
        <w:t>Prescription drugs.</w:t>
      </w:r>
    </w:p>
    <w:p w14:paraId="736C9375" w14:textId="34899858" w:rsidR="00295683" w:rsidRDefault="00295683" w:rsidP="00C87BE7">
      <w:pPr>
        <w:pStyle w:val="ListParagraph"/>
        <w:numPr>
          <w:ilvl w:val="0"/>
          <w:numId w:val="5"/>
        </w:numPr>
        <w:jc w:val="both"/>
      </w:pPr>
      <w:r>
        <w:t>Rehabilitative and habilitative services and devices.</w:t>
      </w:r>
    </w:p>
    <w:p w14:paraId="2761E644" w14:textId="181187EB" w:rsidR="00295683" w:rsidRDefault="00295683" w:rsidP="00C87BE7">
      <w:pPr>
        <w:pStyle w:val="ListParagraph"/>
        <w:numPr>
          <w:ilvl w:val="0"/>
          <w:numId w:val="5"/>
        </w:numPr>
        <w:jc w:val="both"/>
      </w:pPr>
      <w:r>
        <w:t>Laboratory services.</w:t>
      </w:r>
    </w:p>
    <w:p w14:paraId="71CB94CB" w14:textId="311CE2CB" w:rsidR="00295683" w:rsidRDefault="00295683" w:rsidP="00C87BE7">
      <w:pPr>
        <w:pStyle w:val="ListParagraph"/>
        <w:numPr>
          <w:ilvl w:val="0"/>
          <w:numId w:val="5"/>
        </w:numPr>
        <w:jc w:val="both"/>
      </w:pPr>
      <w:r>
        <w:t>Preventive and wellness services and chronic disease management.</w:t>
      </w:r>
    </w:p>
    <w:p w14:paraId="67A9059C" w14:textId="6CC4FFD0" w:rsidR="00295683" w:rsidRDefault="00295683" w:rsidP="00C87BE7">
      <w:pPr>
        <w:pStyle w:val="ListParagraph"/>
        <w:numPr>
          <w:ilvl w:val="0"/>
          <w:numId w:val="5"/>
        </w:numPr>
        <w:jc w:val="both"/>
      </w:pPr>
      <w:r>
        <w:t>Pediatric services, including oral and vision care.</w:t>
      </w:r>
      <w:r w:rsidR="00386D5B">
        <w:t xml:space="preserve"> </w:t>
      </w:r>
    </w:p>
    <w:p w14:paraId="5177DB63" w14:textId="6D911BCD" w:rsidR="005B3F14" w:rsidRDefault="00BF5F21" w:rsidP="00C87BE7">
      <w:pPr>
        <w:jc w:val="both"/>
      </w:pPr>
      <w:r>
        <w:t xml:space="preserve">The specific parameters of each benefit are defined in state-specific EHB-benchmark plans. </w:t>
      </w:r>
      <w:r>
        <w:rPr>
          <w:i/>
          <w:iCs/>
        </w:rPr>
        <w:t>See</w:t>
      </w:r>
      <w:r>
        <w:t xml:space="preserve"> 45 C.F.R. § 156.100, et seq. </w:t>
      </w:r>
      <w:r w:rsidR="00DD0A67">
        <w:t xml:space="preserve">In 2011, </w:t>
      </w:r>
      <w:r w:rsidR="003D7D71">
        <w:t>s</w:t>
      </w:r>
      <w:r w:rsidR="00A56517">
        <w:t>tates</w:t>
      </w:r>
      <w:r w:rsidR="0054626D">
        <w:t xml:space="preserve"> </w:t>
      </w:r>
      <w:r w:rsidR="00A56517">
        <w:t>h</w:t>
      </w:r>
      <w:r w:rsidR="00B44281">
        <w:t>ad</w:t>
      </w:r>
      <w:r w:rsidR="00A56517">
        <w:t xml:space="preserve"> </w:t>
      </w:r>
      <w:r w:rsidR="0054626D">
        <w:t>the option of choosing</w:t>
      </w:r>
      <w:r w:rsidR="003D7D71">
        <w:t xml:space="preserve"> their benchmark plan</w:t>
      </w:r>
      <w:r w:rsidR="0054626D">
        <w:t xml:space="preserve"> from </w:t>
      </w:r>
      <w:r w:rsidR="00C30EAA">
        <w:t xml:space="preserve">the largest </w:t>
      </w:r>
      <w:r w:rsidR="00A92E8A">
        <w:t xml:space="preserve">of the three largest </w:t>
      </w:r>
      <w:r w:rsidR="00C30EAA">
        <w:t xml:space="preserve">small group </w:t>
      </w:r>
      <w:r w:rsidR="00A92E8A">
        <w:t>products</w:t>
      </w:r>
      <w:r w:rsidR="00C30EAA">
        <w:t>,</w:t>
      </w:r>
      <w:r w:rsidR="00A92E8A">
        <w:t xml:space="preserve"> the</w:t>
      </w:r>
      <w:r w:rsidR="00C30EAA">
        <w:t xml:space="preserve"> largest </w:t>
      </w:r>
      <w:r w:rsidR="00A92E8A">
        <w:t xml:space="preserve">commercial </w:t>
      </w:r>
      <w:r w:rsidR="00C30EAA">
        <w:t xml:space="preserve">HMO, the State employee health plan, and the federal employee health benefits plan. The State </w:t>
      </w:r>
      <w:r w:rsidR="003D7D71">
        <w:t xml:space="preserve">of Vermont </w:t>
      </w:r>
      <w:r w:rsidR="00DD0A67">
        <w:t>analyzed</w:t>
      </w:r>
      <w:r w:rsidR="00C30EAA">
        <w:t xml:space="preserve"> </w:t>
      </w:r>
      <w:r w:rsidR="00AC195C">
        <w:t>the first three plans but did not analyze the</w:t>
      </w:r>
      <w:r w:rsidR="00C30EAA">
        <w:t xml:space="preserve"> federal employee health benefit plan. </w:t>
      </w:r>
      <w:r w:rsidR="00860A90">
        <w:t>In 201</w:t>
      </w:r>
      <w:r w:rsidR="00274AC8">
        <w:t>2</w:t>
      </w:r>
      <w:r w:rsidR="00461C74">
        <w:t xml:space="preserve">, the </w:t>
      </w:r>
      <w:r w:rsidR="00726908">
        <w:t>Department of Vermont Health Access</w:t>
      </w:r>
      <w:r w:rsidR="00461C74">
        <w:t xml:space="preserve"> proposed </w:t>
      </w:r>
      <w:r w:rsidR="00444A82">
        <w:t>the Blue Cross Blue Shield of Vermont</w:t>
      </w:r>
      <w:r w:rsidR="004B6EEF">
        <w:t xml:space="preserve"> (BCBSVT)</w:t>
      </w:r>
      <w:r w:rsidR="00444A82">
        <w:t xml:space="preserve"> C</w:t>
      </w:r>
      <w:r w:rsidR="00496E16">
        <w:t xml:space="preserve">onsumer </w:t>
      </w:r>
      <w:r w:rsidR="00444A82">
        <w:t>D</w:t>
      </w:r>
      <w:r w:rsidR="00496E16">
        <w:t xml:space="preserve">riven </w:t>
      </w:r>
      <w:r w:rsidR="00444A82">
        <w:t>H</w:t>
      </w:r>
      <w:r w:rsidR="00496E16">
        <w:t xml:space="preserve">ealth </w:t>
      </w:r>
      <w:r w:rsidR="00444A82">
        <w:t>P</w:t>
      </w:r>
      <w:r w:rsidR="00496E16">
        <w:t>lan (CDHP)</w:t>
      </w:r>
      <w:r w:rsidR="00444A82">
        <w:t xml:space="preserve"> </w:t>
      </w:r>
      <w:r w:rsidR="003936D1">
        <w:t xml:space="preserve">to the </w:t>
      </w:r>
      <w:r w:rsidR="003936D1">
        <w:lastRenderedPageBreak/>
        <w:t>Green Mountain Care Board</w:t>
      </w:r>
      <w:r w:rsidR="004B6EEF">
        <w:t xml:space="preserve"> as the EHB benchmark plan</w:t>
      </w:r>
      <w:r w:rsidR="00781F89">
        <w:t xml:space="preserve">. </w:t>
      </w:r>
      <w:r w:rsidR="003936D1">
        <w:t>The Board approved</w:t>
      </w:r>
      <w:r w:rsidR="00781F89">
        <w:t xml:space="preserve"> </w:t>
      </w:r>
      <w:r w:rsidR="003936D1">
        <w:t>the recommendation and</w:t>
      </w:r>
      <w:r w:rsidR="00781F89">
        <w:t xml:space="preserve"> </w:t>
      </w:r>
      <w:r w:rsidR="00471E1D">
        <w:t xml:space="preserve">adopted </w:t>
      </w:r>
      <w:r w:rsidR="003C2FD3">
        <w:t>the BCBSVT CDHP as</w:t>
      </w:r>
      <w:r w:rsidR="00471E1D">
        <w:t xml:space="preserve"> the</w:t>
      </w:r>
      <w:r w:rsidR="005B3F14">
        <w:t xml:space="preserve"> </w:t>
      </w:r>
      <w:r w:rsidR="00075C38">
        <w:t>EHB</w:t>
      </w:r>
      <w:r w:rsidR="005B3F14">
        <w:t xml:space="preserve"> </w:t>
      </w:r>
      <w:r w:rsidR="00075C38">
        <w:t>b</w:t>
      </w:r>
      <w:r w:rsidR="005B3F14">
        <w:t xml:space="preserve">enchmark </w:t>
      </w:r>
      <w:r w:rsidR="00075C38">
        <w:t>p</w:t>
      </w:r>
      <w:r w:rsidR="005B3F14">
        <w:t xml:space="preserve">lan for the small group and individual </w:t>
      </w:r>
      <w:r w:rsidR="00075C38">
        <w:t>market</w:t>
      </w:r>
      <w:r w:rsidR="005B3F14">
        <w:t xml:space="preserve">. </w:t>
      </w:r>
      <w:r w:rsidR="00595963" w:rsidRPr="00CB4E5C">
        <w:t>Any benefits</w:t>
      </w:r>
      <w:r w:rsidR="0077498A" w:rsidRPr="00CB4E5C">
        <w:t xml:space="preserve"> in addition to those chosen through the </w:t>
      </w:r>
      <w:r w:rsidR="0065032C">
        <w:t>EHB</w:t>
      </w:r>
      <w:r w:rsidR="0077498A" w:rsidRPr="00CB4E5C">
        <w:t xml:space="preserve"> plan</w:t>
      </w:r>
      <w:r w:rsidR="002C1D5E" w:rsidRPr="00CB4E5C">
        <w:t xml:space="preserve"> must be paid for by the state</w:t>
      </w:r>
      <w:r w:rsidR="00595963" w:rsidRPr="00CB4E5C">
        <w:t>.</w:t>
      </w:r>
      <w:r w:rsidR="00AC3D73">
        <w:t xml:space="preserve"> </w:t>
      </w:r>
    </w:p>
    <w:p w14:paraId="024ACF2A" w14:textId="55E7CD70" w:rsidR="00DB1986" w:rsidRDefault="00EC0578" w:rsidP="00C87BE7">
      <w:pPr>
        <w:pStyle w:val="Heading2"/>
        <w:spacing w:before="0"/>
        <w:jc w:val="both"/>
      </w:pPr>
      <w:bookmarkStart w:id="3" w:name="_Toc93557852"/>
      <w:r>
        <w:t>Act 74 of 2021</w:t>
      </w:r>
      <w:bookmarkEnd w:id="3"/>
    </w:p>
    <w:p w14:paraId="3C38F21E" w14:textId="77777777" w:rsidR="00E8012A" w:rsidRDefault="00E8012A" w:rsidP="00C87BE7">
      <w:pPr>
        <w:keepNext/>
        <w:spacing w:after="0"/>
        <w:jc w:val="both"/>
      </w:pPr>
    </w:p>
    <w:p w14:paraId="70A256A9" w14:textId="1BCA3448" w:rsidR="00A87D21" w:rsidRDefault="006F44BA" w:rsidP="00C87BE7">
      <w:pPr>
        <w:jc w:val="both"/>
      </w:pPr>
      <w:r>
        <w:t>During the 2021 legislative session, Act 74</w:t>
      </w:r>
      <w:r w:rsidR="0065032C">
        <w:rPr>
          <w:rStyle w:val="FootnoteReference"/>
        </w:rPr>
        <w:footnoteReference w:id="2"/>
      </w:r>
      <w:r>
        <w:t xml:space="preserve"> required the Department of Financial Regulation</w:t>
      </w:r>
      <w:r w:rsidR="00A91EB9">
        <w:t xml:space="preserve">, in consultation with </w:t>
      </w:r>
      <w:r w:rsidR="00270557">
        <w:t xml:space="preserve">several stakeholders to review Vermont’s benchmark plan and assess </w:t>
      </w:r>
      <w:r w:rsidR="00E83E4E">
        <w:t xml:space="preserve">the current </w:t>
      </w:r>
      <w:r w:rsidR="00AC195C">
        <w:t>EHB</w:t>
      </w:r>
      <w:r w:rsidR="00AB7002">
        <w:t xml:space="preserve"> package</w:t>
      </w:r>
      <w:r w:rsidR="00E83E4E">
        <w:t xml:space="preserve"> to ensure alignment with </w:t>
      </w:r>
      <w:r w:rsidR="00656A81">
        <w:t>V</w:t>
      </w:r>
      <w:r w:rsidR="00E83E4E">
        <w:t xml:space="preserve">ermont’s health care reform goals </w:t>
      </w:r>
      <w:r w:rsidR="00B76886">
        <w:t xml:space="preserve">regarding population health and prevention </w:t>
      </w:r>
      <w:r w:rsidR="00656A81">
        <w:t xml:space="preserve">and the </w:t>
      </w:r>
      <w:r w:rsidR="00AB7002">
        <w:t>impact of adding additional benefits</w:t>
      </w:r>
      <w:r w:rsidR="008665E3">
        <w:t>.</w:t>
      </w:r>
      <w:r w:rsidR="00A87D21">
        <w:t xml:space="preserve"> </w:t>
      </w:r>
    </w:p>
    <w:p w14:paraId="4C5B3F48" w14:textId="21704D24" w:rsidR="0072429F" w:rsidRDefault="0072429F" w:rsidP="00137852">
      <w:r>
        <w:t>State Benchmark Plan Work</w:t>
      </w:r>
      <w:r w:rsidR="0062591E">
        <w:t>ing</w:t>
      </w:r>
      <w:r>
        <w:t xml:space="preserve"> Group Membership</w:t>
      </w:r>
      <w:r w:rsidR="00314860">
        <w:t>:</w:t>
      </w:r>
    </w:p>
    <w:tbl>
      <w:tblPr>
        <w:tblStyle w:val="GridTable1Light-Accent1"/>
        <w:tblW w:w="0" w:type="auto"/>
        <w:tblLook w:val="04A0" w:firstRow="1" w:lastRow="0" w:firstColumn="1" w:lastColumn="0" w:noHBand="0" w:noVBand="1"/>
      </w:tblPr>
      <w:tblGrid>
        <w:gridCol w:w="3116"/>
        <w:gridCol w:w="3117"/>
      </w:tblGrid>
      <w:tr w:rsidR="00653984" w14:paraId="0CC26F27" w14:textId="77777777" w:rsidTr="006539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FFFE353" w14:textId="57A3B54B" w:rsidR="00653984" w:rsidRDefault="0086605F" w:rsidP="00C87BE7">
            <w:pPr>
              <w:jc w:val="both"/>
            </w:pPr>
            <w:r>
              <w:t>Organization</w:t>
            </w:r>
          </w:p>
        </w:tc>
        <w:tc>
          <w:tcPr>
            <w:tcW w:w="3117" w:type="dxa"/>
          </w:tcPr>
          <w:p w14:paraId="46C0DFF0" w14:textId="7B1BD077" w:rsidR="00653984" w:rsidRDefault="0086605F" w:rsidP="00C87BE7">
            <w:pPr>
              <w:jc w:val="both"/>
              <w:cnfStyle w:val="100000000000" w:firstRow="1" w:lastRow="0" w:firstColumn="0" w:lastColumn="0" w:oddVBand="0" w:evenVBand="0" w:oddHBand="0" w:evenHBand="0" w:firstRowFirstColumn="0" w:firstRowLastColumn="0" w:lastRowFirstColumn="0" w:lastRowLastColumn="0"/>
            </w:pPr>
            <w:r>
              <w:t>Name</w:t>
            </w:r>
          </w:p>
        </w:tc>
      </w:tr>
      <w:tr w:rsidR="00653984" w14:paraId="747CE13E" w14:textId="77777777" w:rsidTr="00653984">
        <w:tc>
          <w:tcPr>
            <w:cnfStyle w:val="001000000000" w:firstRow="0" w:lastRow="0" w:firstColumn="1" w:lastColumn="0" w:oddVBand="0" w:evenVBand="0" w:oddHBand="0" w:evenHBand="0" w:firstRowFirstColumn="0" w:firstRowLastColumn="0" w:lastRowFirstColumn="0" w:lastRowLastColumn="0"/>
            <w:tcW w:w="3116" w:type="dxa"/>
          </w:tcPr>
          <w:p w14:paraId="1A2ED475" w14:textId="11F9F1C0" w:rsidR="00653984" w:rsidRDefault="0086605F" w:rsidP="006A4A57">
            <w:r>
              <w:t xml:space="preserve">Department of Financial Regulation </w:t>
            </w:r>
            <w:r w:rsidR="00653984">
              <w:t xml:space="preserve"> </w:t>
            </w:r>
          </w:p>
        </w:tc>
        <w:tc>
          <w:tcPr>
            <w:tcW w:w="3117" w:type="dxa"/>
          </w:tcPr>
          <w:p w14:paraId="11994334" w14:textId="02E779FF" w:rsidR="00653984" w:rsidRDefault="0086605F" w:rsidP="007F7A73">
            <w:pPr>
              <w:cnfStyle w:val="000000000000" w:firstRow="0" w:lastRow="0" w:firstColumn="0" w:lastColumn="0" w:oddVBand="0" w:evenVBand="0" w:oddHBand="0" w:evenHBand="0" w:firstRowFirstColumn="0" w:firstRowLastColumn="0" w:lastRowFirstColumn="0" w:lastRowLastColumn="0"/>
            </w:pPr>
            <w:r>
              <w:t>Sebastian Arduengo, Emily Brown, Anna Van Fleet</w:t>
            </w:r>
            <w:r w:rsidR="00653984">
              <w:t xml:space="preserve"> </w:t>
            </w:r>
          </w:p>
        </w:tc>
      </w:tr>
      <w:tr w:rsidR="00653984" w14:paraId="43F2C829" w14:textId="77777777" w:rsidTr="00653984">
        <w:tc>
          <w:tcPr>
            <w:cnfStyle w:val="001000000000" w:firstRow="0" w:lastRow="0" w:firstColumn="1" w:lastColumn="0" w:oddVBand="0" w:evenVBand="0" w:oddHBand="0" w:evenHBand="0" w:firstRowFirstColumn="0" w:firstRowLastColumn="0" w:lastRowFirstColumn="0" w:lastRowLastColumn="0"/>
            <w:tcW w:w="3116" w:type="dxa"/>
          </w:tcPr>
          <w:p w14:paraId="75DA0C38" w14:textId="19F8457D" w:rsidR="00653984" w:rsidRDefault="0086605F" w:rsidP="006A4A57">
            <w:r>
              <w:t>Department of Vermont Health Access</w:t>
            </w:r>
          </w:p>
        </w:tc>
        <w:tc>
          <w:tcPr>
            <w:tcW w:w="3117" w:type="dxa"/>
          </w:tcPr>
          <w:p w14:paraId="4913B48F" w14:textId="3509E154" w:rsidR="00653984" w:rsidRDefault="00884057" w:rsidP="007F7A73">
            <w:pPr>
              <w:cnfStyle w:val="000000000000" w:firstRow="0" w:lastRow="0" w:firstColumn="0" w:lastColumn="0" w:oddVBand="0" w:evenVBand="0" w:oddHBand="0" w:evenHBand="0" w:firstRowFirstColumn="0" w:firstRowLastColumn="0" w:lastRowFirstColumn="0" w:lastRowLastColumn="0"/>
            </w:pPr>
            <w:r>
              <w:t>Adaline</w:t>
            </w:r>
            <w:r w:rsidR="007F7A73">
              <w:t xml:space="preserve"> </w:t>
            </w:r>
            <w:r>
              <w:t xml:space="preserve">Strumolo, Dana </w:t>
            </w:r>
            <w:r w:rsidR="00E16F16">
              <w:t xml:space="preserve">Houlihan, Sean </w:t>
            </w:r>
            <w:r w:rsidR="002F1BFB">
              <w:t>Sheehan</w:t>
            </w:r>
          </w:p>
        </w:tc>
      </w:tr>
      <w:tr w:rsidR="00653984" w14:paraId="4F5CC01C" w14:textId="77777777" w:rsidTr="00653984">
        <w:tc>
          <w:tcPr>
            <w:cnfStyle w:val="001000000000" w:firstRow="0" w:lastRow="0" w:firstColumn="1" w:lastColumn="0" w:oddVBand="0" w:evenVBand="0" w:oddHBand="0" w:evenHBand="0" w:firstRowFirstColumn="0" w:firstRowLastColumn="0" w:lastRowFirstColumn="0" w:lastRowLastColumn="0"/>
            <w:tcW w:w="3116" w:type="dxa"/>
          </w:tcPr>
          <w:p w14:paraId="53F5A7C8" w14:textId="120157AA" w:rsidR="00653984" w:rsidRDefault="002157C1" w:rsidP="006A4A57">
            <w:r>
              <w:t xml:space="preserve">Office of the </w:t>
            </w:r>
            <w:r w:rsidR="0086605F">
              <w:t>Director of Health Care Reform</w:t>
            </w:r>
            <w:r>
              <w:t xml:space="preserve"> </w:t>
            </w:r>
          </w:p>
        </w:tc>
        <w:tc>
          <w:tcPr>
            <w:tcW w:w="3117" w:type="dxa"/>
          </w:tcPr>
          <w:p w14:paraId="12328A29" w14:textId="7B3B10B9" w:rsidR="00653984" w:rsidRDefault="0086605F" w:rsidP="007F7A73">
            <w:pPr>
              <w:cnfStyle w:val="000000000000" w:firstRow="0" w:lastRow="0" w:firstColumn="0" w:lastColumn="0" w:oddVBand="0" w:evenVBand="0" w:oddHBand="0" w:evenHBand="0" w:firstRowFirstColumn="0" w:firstRowLastColumn="0" w:lastRowFirstColumn="0" w:lastRowLastColumn="0"/>
            </w:pPr>
            <w:r>
              <w:t>Ena Backus</w:t>
            </w:r>
            <w:r w:rsidR="00884057">
              <w:t xml:space="preserve">, Wendy Trafton </w:t>
            </w:r>
          </w:p>
        </w:tc>
      </w:tr>
      <w:tr w:rsidR="00653984" w14:paraId="206653C1" w14:textId="77777777" w:rsidTr="00653984">
        <w:tc>
          <w:tcPr>
            <w:cnfStyle w:val="001000000000" w:firstRow="0" w:lastRow="0" w:firstColumn="1" w:lastColumn="0" w:oddVBand="0" w:evenVBand="0" w:oddHBand="0" w:evenHBand="0" w:firstRowFirstColumn="0" w:firstRowLastColumn="0" w:lastRowFirstColumn="0" w:lastRowLastColumn="0"/>
            <w:tcW w:w="3116" w:type="dxa"/>
          </w:tcPr>
          <w:p w14:paraId="3442D959" w14:textId="6F16260B" w:rsidR="00653984" w:rsidRDefault="002F1BFB" w:rsidP="006A4A57">
            <w:r>
              <w:t xml:space="preserve">BCBSVT </w:t>
            </w:r>
          </w:p>
        </w:tc>
        <w:tc>
          <w:tcPr>
            <w:tcW w:w="3117" w:type="dxa"/>
          </w:tcPr>
          <w:p w14:paraId="039909BF" w14:textId="6293F2C1" w:rsidR="00653984" w:rsidRDefault="009470C8" w:rsidP="007F7A73">
            <w:pPr>
              <w:cnfStyle w:val="000000000000" w:firstRow="0" w:lastRow="0" w:firstColumn="0" w:lastColumn="0" w:oddVBand="0" w:evenVBand="0" w:oddHBand="0" w:evenHBand="0" w:firstRowFirstColumn="0" w:firstRowLastColumn="0" w:lastRowFirstColumn="0" w:lastRowLastColumn="0"/>
            </w:pPr>
            <w:r>
              <w:t>Sara Teachout</w:t>
            </w:r>
          </w:p>
        </w:tc>
      </w:tr>
      <w:tr w:rsidR="00653984" w14:paraId="6DC612F6" w14:textId="77777777" w:rsidTr="00653984">
        <w:tc>
          <w:tcPr>
            <w:cnfStyle w:val="001000000000" w:firstRow="0" w:lastRow="0" w:firstColumn="1" w:lastColumn="0" w:oddVBand="0" w:evenVBand="0" w:oddHBand="0" w:evenHBand="0" w:firstRowFirstColumn="0" w:firstRowLastColumn="0" w:lastRowFirstColumn="0" w:lastRowLastColumn="0"/>
            <w:tcW w:w="3116" w:type="dxa"/>
          </w:tcPr>
          <w:p w14:paraId="10A7D1D5" w14:textId="741939DF" w:rsidR="009951ED" w:rsidRPr="009951ED" w:rsidRDefault="002F1BFB" w:rsidP="006A4A57">
            <w:pPr>
              <w:rPr>
                <w:b w:val="0"/>
                <w:bCs w:val="0"/>
              </w:rPr>
            </w:pPr>
            <w:r>
              <w:t>MVP</w:t>
            </w:r>
          </w:p>
        </w:tc>
        <w:tc>
          <w:tcPr>
            <w:tcW w:w="3117" w:type="dxa"/>
          </w:tcPr>
          <w:p w14:paraId="11298D22" w14:textId="26A5BD2B" w:rsidR="00653984" w:rsidRDefault="009470C8" w:rsidP="007F7A73">
            <w:pPr>
              <w:cnfStyle w:val="000000000000" w:firstRow="0" w:lastRow="0" w:firstColumn="0" w:lastColumn="0" w:oddVBand="0" w:evenVBand="0" w:oddHBand="0" w:evenHBand="0" w:firstRowFirstColumn="0" w:firstRowLastColumn="0" w:lastRowFirstColumn="0" w:lastRowLastColumn="0"/>
            </w:pPr>
            <w:r>
              <w:t>Jordan Estey</w:t>
            </w:r>
          </w:p>
        </w:tc>
      </w:tr>
      <w:tr w:rsidR="00653984" w14:paraId="321C5FB1" w14:textId="77777777" w:rsidTr="00653984">
        <w:tc>
          <w:tcPr>
            <w:cnfStyle w:val="001000000000" w:firstRow="0" w:lastRow="0" w:firstColumn="1" w:lastColumn="0" w:oddVBand="0" w:evenVBand="0" w:oddHBand="0" w:evenHBand="0" w:firstRowFirstColumn="0" w:firstRowLastColumn="0" w:lastRowFirstColumn="0" w:lastRowLastColumn="0"/>
            <w:tcW w:w="3116" w:type="dxa"/>
          </w:tcPr>
          <w:p w14:paraId="62D26253" w14:textId="56B97CF8" w:rsidR="00653984" w:rsidRDefault="000119C3" w:rsidP="006A4A57">
            <w:r>
              <w:t>Northeast Delta Dental</w:t>
            </w:r>
            <w:r w:rsidR="002F1BFB">
              <w:t xml:space="preserve"> </w:t>
            </w:r>
          </w:p>
        </w:tc>
        <w:tc>
          <w:tcPr>
            <w:tcW w:w="3117" w:type="dxa"/>
          </w:tcPr>
          <w:p w14:paraId="3C12FDC4" w14:textId="4F9A423B" w:rsidR="00653984" w:rsidRDefault="00D715F9" w:rsidP="007F7A73">
            <w:pPr>
              <w:cnfStyle w:val="000000000000" w:firstRow="0" w:lastRow="0" w:firstColumn="0" w:lastColumn="0" w:oddVBand="0" w:evenVBand="0" w:oddHBand="0" w:evenHBand="0" w:firstRowFirstColumn="0" w:firstRowLastColumn="0" w:lastRowFirstColumn="0" w:lastRowLastColumn="0"/>
            </w:pPr>
            <w:r>
              <w:t>Brian Duffy</w:t>
            </w:r>
          </w:p>
        </w:tc>
      </w:tr>
      <w:tr w:rsidR="003402FB" w14:paraId="1122EE1F" w14:textId="77777777" w:rsidTr="00653984">
        <w:tc>
          <w:tcPr>
            <w:cnfStyle w:val="001000000000" w:firstRow="0" w:lastRow="0" w:firstColumn="1" w:lastColumn="0" w:oddVBand="0" w:evenVBand="0" w:oddHBand="0" w:evenHBand="0" w:firstRowFirstColumn="0" w:firstRowLastColumn="0" w:lastRowFirstColumn="0" w:lastRowLastColumn="0"/>
            <w:tcW w:w="3116" w:type="dxa"/>
          </w:tcPr>
          <w:p w14:paraId="38521CF5" w14:textId="461D447C" w:rsidR="003402FB" w:rsidRDefault="000119C3" w:rsidP="006A4A57">
            <w:r>
              <w:t xml:space="preserve">Vermont Hospital Association </w:t>
            </w:r>
          </w:p>
        </w:tc>
        <w:tc>
          <w:tcPr>
            <w:tcW w:w="3117" w:type="dxa"/>
          </w:tcPr>
          <w:p w14:paraId="412DB26E" w14:textId="7B05341E" w:rsidR="003402FB" w:rsidRDefault="00122B2A" w:rsidP="007F7A73">
            <w:pPr>
              <w:cnfStyle w:val="000000000000" w:firstRow="0" w:lastRow="0" w:firstColumn="0" w:lastColumn="0" w:oddVBand="0" w:evenVBand="0" w:oddHBand="0" w:evenHBand="0" w:firstRowFirstColumn="0" w:firstRowLastColumn="0" w:lastRowFirstColumn="0" w:lastRowLastColumn="0"/>
            </w:pPr>
            <w:r>
              <w:t>Devon Green</w:t>
            </w:r>
          </w:p>
        </w:tc>
      </w:tr>
      <w:tr w:rsidR="003402FB" w14:paraId="1AADA3F3" w14:textId="77777777" w:rsidTr="00653984">
        <w:tc>
          <w:tcPr>
            <w:cnfStyle w:val="001000000000" w:firstRow="0" w:lastRow="0" w:firstColumn="1" w:lastColumn="0" w:oddVBand="0" w:evenVBand="0" w:oddHBand="0" w:evenHBand="0" w:firstRowFirstColumn="0" w:firstRowLastColumn="0" w:lastRowFirstColumn="0" w:lastRowLastColumn="0"/>
            <w:tcW w:w="3116" w:type="dxa"/>
          </w:tcPr>
          <w:p w14:paraId="6B5172C0" w14:textId="133A18E6" w:rsidR="003402FB" w:rsidRDefault="00F631BA" w:rsidP="006A4A57">
            <w:r>
              <w:t>Vermont Medical Society</w:t>
            </w:r>
          </w:p>
        </w:tc>
        <w:tc>
          <w:tcPr>
            <w:tcW w:w="3117" w:type="dxa"/>
          </w:tcPr>
          <w:p w14:paraId="2EAC14FB" w14:textId="739C0161" w:rsidR="003402FB" w:rsidRDefault="00F631BA" w:rsidP="007F7A73">
            <w:pPr>
              <w:cnfStyle w:val="000000000000" w:firstRow="0" w:lastRow="0" w:firstColumn="0" w:lastColumn="0" w:oddVBand="0" w:evenVBand="0" w:oddHBand="0" w:evenHBand="0" w:firstRowFirstColumn="0" w:firstRowLastColumn="0" w:lastRowFirstColumn="0" w:lastRowLastColumn="0"/>
            </w:pPr>
            <w:r>
              <w:t>Jill Sudhoff</w:t>
            </w:r>
            <w:r w:rsidR="002157C1">
              <w:t>-Guerin</w:t>
            </w:r>
          </w:p>
        </w:tc>
      </w:tr>
      <w:tr w:rsidR="003402FB" w14:paraId="25596C6F" w14:textId="77777777" w:rsidTr="00653984">
        <w:tc>
          <w:tcPr>
            <w:cnfStyle w:val="001000000000" w:firstRow="0" w:lastRow="0" w:firstColumn="1" w:lastColumn="0" w:oddVBand="0" w:evenVBand="0" w:oddHBand="0" w:evenHBand="0" w:firstRowFirstColumn="0" w:firstRowLastColumn="0" w:lastRowFirstColumn="0" w:lastRowLastColumn="0"/>
            <w:tcW w:w="3116" w:type="dxa"/>
          </w:tcPr>
          <w:p w14:paraId="754FE030" w14:textId="39FD0C0D" w:rsidR="003402FB" w:rsidRDefault="0032797F" w:rsidP="006A4A57">
            <w:r>
              <w:t>Vermont Legal Aid</w:t>
            </w:r>
          </w:p>
        </w:tc>
        <w:tc>
          <w:tcPr>
            <w:tcW w:w="3117" w:type="dxa"/>
          </w:tcPr>
          <w:p w14:paraId="14589504" w14:textId="04486C1E" w:rsidR="003402FB" w:rsidRDefault="006455CA" w:rsidP="007F7A73">
            <w:pPr>
              <w:cnfStyle w:val="000000000000" w:firstRow="0" w:lastRow="0" w:firstColumn="0" w:lastColumn="0" w:oddVBand="0" w:evenVBand="0" w:oddHBand="0" w:evenHBand="0" w:firstRowFirstColumn="0" w:firstRowLastColumn="0" w:lastRowFirstColumn="0" w:lastRowLastColumn="0"/>
            </w:pPr>
            <w:r>
              <w:t>Mike Fisher</w:t>
            </w:r>
          </w:p>
        </w:tc>
      </w:tr>
    </w:tbl>
    <w:p w14:paraId="286A73FF" w14:textId="77777777" w:rsidR="00B52690" w:rsidRDefault="00B52690" w:rsidP="00C87BE7">
      <w:pPr>
        <w:spacing w:after="0" w:line="240" w:lineRule="auto"/>
        <w:jc w:val="both"/>
      </w:pPr>
    </w:p>
    <w:p w14:paraId="2ECBA408" w14:textId="6CE87802" w:rsidR="00FE0154" w:rsidRDefault="00FE0154" w:rsidP="00C87BE7">
      <w:pPr>
        <w:pStyle w:val="Heading1"/>
        <w:jc w:val="both"/>
      </w:pPr>
      <w:bookmarkStart w:id="4" w:name="_Toc93557853"/>
      <w:r>
        <w:t>Essential Health Benefit Plan Updates</w:t>
      </w:r>
      <w:bookmarkEnd w:id="4"/>
      <w:r w:rsidR="00716C00">
        <w:t xml:space="preserve"> </w:t>
      </w:r>
    </w:p>
    <w:p w14:paraId="0E531074" w14:textId="77777777" w:rsidR="005B2133" w:rsidRDefault="005B2133" w:rsidP="00C87BE7">
      <w:pPr>
        <w:spacing w:after="0"/>
        <w:jc w:val="both"/>
      </w:pPr>
    </w:p>
    <w:p w14:paraId="38D26550" w14:textId="6D9C7191" w:rsidR="002F5645" w:rsidRDefault="002C5A4F" w:rsidP="00C87BE7">
      <w:pPr>
        <w:jc w:val="both"/>
      </w:pPr>
      <w:r>
        <w:t xml:space="preserve">In </w:t>
      </w:r>
      <w:r w:rsidR="00C578B7">
        <w:t xml:space="preserve">the Final </w:t>
      </w:r>
      <w:r>
        <w:t>2019</w:t>
      </w:r>
      <w:r w:rsidR="00C578B7">
        <w:t xml:space="preserve"> HHS Notice of </w:t>
      </w:r>
      <w:r w:rsidR="004B5E7F">
        <w:t>Benefits and Payment Parameters</w:t>
      </w:r>
      <w:r w:rsidR="005B2133">
        <w:rPr>
          <w:rStyle w:val="FootnoteReference"/>
        </w:rPr>
        <w:footnoteReference w:id="3"/>
      </w:r>
      <w:r w:rsidR="006E6DB9">
        <w:t>,</w:t>
      </w:r>
      <w:r w:rsidR="002F5645">
        <w:t xml:space="preserve"> the federal government allowed </w:t>
      </w:r>
      <w:r w:rsidR="00187E1C">
        <w:t>s</w:t>
      </w:r>
      <w:r w:rsidR="002F5645">
        <w:t>tates an opportunity to update</w:t>
      </w:r>
      <w:r w:rsidR="00E1690F">
        <w:t xml:space="preserve"> </w:t>
      </w:r>
      <w:r w:rsidR="002F5645">
        <w:t>benchmark plans for years 2020 and beyond. States have three options for updates:</w:t>
      </w:r>
    </w:p>
    <w:p w14:paraId="7A858B6B" w14:textId="77777777" w:rsidR="002F5645" w:rsidRDefault="002F5645" w:rsidP="00C87BE7">
      <w:pPr>
        <w:pStyle w:val="ListParagraph"/>
        <w:numPr>
          <w:ilvl w:val="0"/>
          <w:numId w:val="1"/>
        </w:numPr>
        <w:jc w:val="both"/>
      </w:pPr>
      <w:r w:rsidRPr="006D30C0">
        <w:t>Select a benchmark plan used by another state during the 2017 plan year;</w:t>
      </w:r>
    </w:p>
    <w:p w14:paraId="70429482" w14:textId="6FC1DA48" w:rsidR="002F5645" w:rsidRDefault="002F5645" w:rsidP="00C87BE7">
      <w:pPr>
        <w:pStyle w:val="ListParagraph"/>
        <w:numPr>
          <w:ilvl w:val="0"/>
          <w:numId w:val="1"/>
        </w:numPr>
        <w:jc w:val="both"/>
      </w:pPr>
      <w:r w:rsidRPr="006D30C0">
        <w:t xml:space="preserve">Replace one or more categories of </w:t>
      </w:r>
      <w:r w:rsidR="00AC195C">
        <w:t>EHB</w:t>
      </w:r>
      <w:r w:rsidRPr="006D30C0">
        <w:t xml:space="preserve"> with the same category or categories of EHB used in another state</w:t>
      </w:r>
      <w:r>
        <w:t>’s benchmark plan</w:t>
      </w:r>
      <w:r w:rsidRPr="006D30C0">
        <w:t xml:space="preserve"> for the 2017 plan year; or</w:t>
      </w:r>
    </w:p>
    <w:p w14:paraId="45483D2E" w14:textId="0A335FAE" w:rsidR="002F5645" w:rsidRPr="006D30C0" w:rsidRDefault="00FD3B4C" w:rsidP="00C87BE7">
      <w:pPr>
        <w:pStyle w:val="ListParagraph"/>
        <w:numPr>
          <w:ilvl w:val="0"/>
          <w:numId w:val="1"/>
        </w:numPr>
        <w:jc w:val="both"/>
      </w:pPr>
      <w:r>
        <w:t>S</w:t>
      </w:r>
      <w:r w:rsidR="002F5645" w:rsidRPr="006D30C0">
        <w:t>elect a set of benefits to constitute the State’s benchmark plan.</w:t>
      </w:r>
    </w:p>
    <w:p w14:paraId="7F5FF495" w14:textId="596F2020" w:rsidR="002F5645" w:rsidRDefault="002F5645" w:rsidP="00C87BE7">
      <w:pPr>
        <w:jc w:val="both"/>
      </w:pPr>
      <w:r>
        <w:t xml:space="preserve">There are two tests which a </w:t>
      </w:r>
      <w:r w:rsidR="00CC2F7F">
        <w:t>s</w:t>
      </w:r>
      <w:r>
        <w:t xml:space="preserve">tate benchmark selection must pass: first, the scope of benefits must be at least equal to those in a typical employer plan. Second, the benchmark plan cannot “exceed the </w:t>
      </w:r>
      <w:r>
        <w:lastRenderedPageBreak/>
        <w:t xml:space="preserve">generosity” of either the benchmark plan in place for 2017 or any benchmark plan options the state had available in 2017. </w:t>
      </w:r>
    </w:p>
    <w:p w14:paraId="1F370765" w14:textId="701DF306" w:rsidR="002F5645" w:rsidRDefault="007350CE" w:rsidP="00C87BE7">
      <w:pPr>
        <w:jc w:val="both"/>
      </w:pPr>
      <w:r>
        <w:t xml:space="preserve">The typicality test </w:t>
      </w:r>
      <w:r w:rsidR="000713E5">
        <w:t xml:space="preserve">requires that the </w:t>
      </w:r>
      <w:r w:rsidR="00CB2536">
        <w:t>expected value of the proposed EHB</w:t>
      </w:r>
      <w:r w:rsidR="00120D94">
        <w:t xml:space="preserve"> </w:t>
      </w:r>
      <w:r w:rsidR="00CB2536">
        <w:t>benchmark plan</w:t>
      </w:r>
      <w:r w:rsidR="00F542A8">
        <w:t xml:space="preserve"> is equal to the scope of benefits provided under a typical employer plan</w:t>
      </w:r>
      <w:r w:rsidR="002D1469">
        <w:t>.</w:t>
      </w:r>
      <w:r w:rsidR="00F542A8">
        <w:t xml:space="preserve"> </w:t>
      </w:r>
      <w:r w:rsidR="002F5645">
        <w:t xml:space="preserve">The generosity test allows a state to increase the value of the benchmark plan only if the new benchmark does </w:t>
      </w:r>
      <w:r w:rsidR="002F5645" w:rsidRPr="2CBEA2AC">
        <w:rPr>
          <w:u w:val="single"/>
        </w:rPr>
        <w:t xml:space="preserve">not </w:t>
      </w:r>
      <w:r w:rsidR="002F5645">
        <w:t>offer a more generous scope of benefits than the most generous plan available in 2017. Under the federal guidelines, a state’s new benchmark plan cannot exceed the generosity of the most generous comparison plans even by a small amount, or the state must pay the excess cost. For example, if the State’s proposed additional benefit combined with the existing benefits exceeds 100 percent of the expected value of the most generous “Comparison Plan”, the state would not pass the generosity test and</w:t>
      </w:r>
      <w:r w:rsidR="00DB329E">
        <w:t xml:space="preserve"> would</w:t>
      </w:r>
      <w:r w:rsidR="002F5645">
        <w:t xml:space="preserve"> be required to defray the cost of the additional benefit. </w:t>
      </w:r>
    </w:p>
    <w:p w14:paraId="1D236C8F" w14:textId="72E4893F" w:rsidR="002F5645" w:rsidRDefault="002F5645" w:rsidP="00C87BE7">
      <w:pPr>
        <w:jc w:val="both"/>
      </w:pPr>
      <w:r>
        <w:t xml:space="preserve">To </w:t>
      </w:r>
      <w:r w:rsidR="00B961F0">
        <w:t>add benefits</w:t>
      </w:r>
      <w:r w:rsidR="00DB329E">
        <w:t xml:space="preserve"> without incurring additional costs to the </w:t>
      </w:r>
      <w:r w:rsidR="00C34507">
        <w:t>State</w:t>
      </w:r>
      <w:r w:rsidR="00DB329E">
        <w:t xml:space="preserve">, </w:t>
      </w:r>
      <w:r>
        <w:t xml:space="preserve">Vermont </w:t>
      </w:r>
      <w:r w:rsidR="00061E5E">
        <w:t>must</w:t>
      </w:r>
      <w:r>
        <w:t xml:space="preserve"> show that doing so would not cause its benchmark plan to exceed the generosity of any of the following plan options available in 2017:</w:t>
      </w:r>
    </w:p>
    <w:p w14:paraId="73086CA2" w14:textId="5AAF25BE" w:rsidR="002F5645" w:rsidRPr="003F2D55" w:rsidRDefault="002F5645" w:rsidP="00C87BE7">
      <w:pPr>
        <w:pStyle w:val="ListParagraph"/>
        <w:numPr>
          <w:ilvl w:val="0"/>
          <w:numId w:val="8"/>
        </w:numPr>
        <w:jc w:val="both"/>
      </w:pPr>
      <w:r w:rsidRPr="00920002">
        <w:rPr>
          <w:i/>
          <w:iCs/>
        </w:rPr>
        <w:t>Small group market health plan</w:t>
      </w:r>
      <w:r w:rsidRPr="003F2D55">
        <w:t>. The largest health </w:t>
      </w:r>
      <w:hyperlink r:id="rId9" w:history="1">
        <w:r w:rsidRPr="003F2D55">
          <w:t>plan</w:t>
        </w:r>
      </w:hyperlink>
      <w:r w:rsidRPr="003F2D55">
        <w:t> by enrollment in any of the three largest small group insurance </w:t>
      </w:r>
      <w:hyperlink r:id="rId10" w:history="1">
        <w:r w:rsidRPr="003F2D55">
          <w:t>products</w:t>
        </w:r>
      </w:hyperlink>
      <w:r w:rsidRPr="003F2D55">
        <w:t> by enrollment, as defined in </w:t>
      </w:r>
      <w:r>
        <w:t xml:space="preserve">45 C.F.R. </w:t>
      </w:r>
      <w:hyperlink r:id="rId11" w:history="1">
        <w:r w:rsidRPr="003F2D55">
          <w:t>§ 159.110</w:t>
        </w:r>
      </w:hyperlink>
      <w:r w:rsidRPr="003F2D55">
        <w:t>, in the </w:t>
      </w:r>
      <w:hyperlink r:id="rId12" w:history="1">
        <w:r w:rsidRPr="003F2D55">
          <w:t>State</w:t>
        </w:r>
      </w:hyperlink>
      <w:r>
        <w:t>’</w:t>
      </w:r>
      <w:r w:rsidRPr="003F2D55">
        <w:t>s </w:t>
      </w:r>
      <w:hyperlink r:id="rId13" w:history="1">
        <w:r w:rsidRPr="003F2D55">
          <w:t>small group market</w:t>
        </w:r>
      </w:hyperlink>
      <w:r w:rsidRPr="003F2D55">
        <w:t> as defined in </w:t>
      </w:r>
      <w:hyperlink r:id="rId14" w:history="1">
        <w:r w:rsidRPr="003F2D55">
          <w:t>§ 155.20</w:t>
        </w:r>
      </w:hyperlink>
      <w:r w:rsidRPr="003F2D55">
        <w:t>.</w:t>
      </w:r>
    </w:p>
    <w:p w14:paraId="253C7605" w14:textId="3ECAB4DC" w:rsidR="002F5645" w:rsidRPr="003F2D55" w:rsidRDefault="002F5645" w:rsidP="00C87BE7">
      <w:pPr>
        <w:pStyle w:val="ListParagraph"/>
        <w:numPr>
          <w:ilvl w:val="0"/>
          <w:numId w:val="8"/>
        </w:numPr>
        <w:jc w:val="both"/>
      </w:pPr>
      <w:r w:rsidRPr="00920002">
        <w:rPr>
          <w:i/>
          <w:iCs/>
        </w:rPr>
        <w:t>State employee health benefit plan</w:t>
      </w:r>
      <w:r w:rsidRPr="003F2D55">
        <w:t>. Any of the largest three employee health benefit </w:t>
      </w:r>
      <w:hyperlink r:id="rId15" w:history="1">
        <w:r w:rsidRPr="003F2D55">
          <w:t>plan</w:t>
        </w:r>
      </w:hyperlink>
      <w:r w:rsidRPr="003F2D55">
        <w:t> options by enrollment offered and generally available to </w:t>
      </w:r>
      <w:hyperlink r:id="rId16" w:history="1">
        <w:r w:rsidRPr="003F2D55">
          <w:t>State</w:t>
        </w:r>
      </w:hyperlink>
      <w:r w:rsidRPr="003F2D55">
        <w:t xml:space="preserve"> employees in </w:t>
      </w:r>
      <w:r>
        <w:t>Vermont</w:t>
      </w:r>
      <w:r w:rsidRPr="003F2D55">
        <w:t>.</w:t>
      </w:r>
    </w:p>
    <w:p w14:paraId="1B885857" w14:textId="0BF9579B" w:rsidR="002F5645" w:rsidRPr="003F2D55" w:rsidRDefault="00920002" w:rsidP="00C87BE7">
      <w:pPr>
        <w:pStyle w:val="ListParagraph"/>
        <w:numPr>
          <w:ilvl w:val="0"/>
          <w:numId w:val="8"/>
        </w:numPr>
        <w:jc w:val="both"/>
      </w:pPr>
      <w:r w:rsidRPr="00920002">
        <w:rPr>
          <w:i/>
          <w:iCs/>
        </w:rPr>
        <w:t>Federal Employees </w:t>
      </w:r>
      <w:hyperlink r:id="rId17" w:history="1">
        <w:r w:rsidRPr="00920002">
          <w:rPr>
            <w:i/>
            <w:iCs/>
          </w:rPr>
          <w:t>Health Benefits</w:t>
        </w:r>
      </w:hyperlink>
      <w:r w:rsidRPr="00920002">
        <w:rPr>
          <w:i/>
          <w:iCs/>
        </w:rPr>
        <w:t> </w:t>
      </w:r>
      <w:hyperlink r:id="rId18" w:history="1">
        <w:r w:rsidRPr="00920002">
          <w:rPr>
            <w:i/>
            <w:iCs/>
          </w:rPr>
          <w:t>Program</w:t>
        </w:r>
      </w:hyperlink>
      <w:r w:rsidRPr="00920002">
        <w:rPr>
          <w:i/>
          <w:iCs/>
        </w:rPr>
        <w:t> (FEHBP).</w:t>
      </w:r>
      <w:r w:rsidR="002F5645" w:rsidRPr="003F2D55">
        <w:t xml:space="preserve"> Any of the largest three national </w:t>
      </w:r>
      <w:r w:rsidR="007A144B">
        <w:t>FEHBP</w:t>
      </w:r>
      <w:r w:rsidR="002F5645" w:rsidRPr="003F2D55">
        <w:t> </w:t>
      </w:r>
      <w:hyperlink r:id="rId19" w:history="1">
        <w:r w:rsidR="002F5645" w:rsidRPr="003F2D55">
          <w:t>plan</w:t>
        </w:r>
      </w:hyperlink>
      <w:r w:rsidR="002F5645" w:rsidRPr="003F2D55">
        <w:t> options by aggregate enrollment that is offered to all health-benefits-eligible federal employees under </w:t>
      </w:r>
      <w:hyperlink r:id="rId20" w:history="1">
        <w:r w:rsidR="002F5645" w:rsidRPr="003F2D55">
          <w:t>5 U</w:t>
        </w:r>
        <w:r w:rsidR="002F5645">
          <w:t>.</w:t>
        </w:r>
        <w:r w:rsidR="002F5645" w:rsidRPr="003F2D55">
          <w:t>S</w:t>
        </w:r>
        <w:r w:rsidR="002F5645">
          <w:t>.</w:t>
        </w:r>
        <w:r w:rsidR="002F5645" w:rsidRPr="003F2D55">
          <w:t>C</w:t>
        </w:r>
        <w:r w:rsidR="002F5645">
          <w:t>.</w:t>
        </w:r>
        <w:r w:rsidR="002F5645" w:rsidRPr="003F2D55">
          <w:t xml:space="preserve"> </w:t>
        </w:r>
        <w:r w:rsidR="002F5645" w:rsidRPr="00991543">
          <w:rPr>
            <w:rFonts w:cstheme="minorHAnsi"/>
          </w:rPr>
          <w:t>§</w:t>
        </w:r>
        <w:r w:rsidR="002F5645" w:rsidRPr="003F2D55">
          <w:t xml:space="preserve"> 8903</w:t>
        </w:r>
      </w:hyperlink>
      <w:r w:rsidR="002F5645" w:rsidRPr="003F2D55">
        <w:t>.</w:t>
      </w:r>
    </w:p>
    <w:p w14:paraId="58B1AFC3" w14:textId="5A8339AF" w:rsidR="002F5645" w:rsidRDefault="002F5645" w:rsidP="00C87BE7">
      <w:pPr>
        <w:pStyle w:val="ListParagraph"/>
        <w:numPr>
          <w:ilvl w:val="0"/>
          <w:numId w:val="8"/>
        </w:numPr>
        <w:jc w:val="both"/>
      </w:pPr>
      <w:r w:rsidRPr="007A144B">
        <w:rPr>
          <w:i/>
          <w:iCs/>
        </w:rPr>
        <w:t>HMO</w:t>
      </w:r>
      <w:r w:rsidRPr="003F2D55">
        <w:t>. The coverage </w:t>
      </w:r>
      <w:hyperlink r:id="rId21" w:history="1">
        <w:r w:rsidRPr="003F2D55">
          <w:t>plan</w:t>
        </w:r>
      </w:hyperlink>
      <w:r w:rsidRPr="003F2D55">
        <w:t> with the largest insured commercial non-Medicaid enrollment offered by a </w:t>
      </w:r>
      <w:hyperlink r:id="rId22" w:history="1">
        <w:r w:rsidRPr="003F2D55">
          <w:t>health maintenance organization</w:t>
        </w:r>
      </w:hyperlink>
      <w:r w:rsidRPr="003F2D55">
        <w:t> operating in the </w:t>
      </w:r>
      <w:hyperlink r:id="rId23" w:history="1">
        <w:r w:rsidRPr="003F2D55">
          <w:t>State</w:t>
        </w:r>
      </w:hyperlink>
      <w:r w:rsidRPr="003F2D55">
        <w:t>.</w:t>
      </w:r>
      <w:r>
        <w:rPr>
          <w:rStyle w:val="FootnoteReference"/>
        </w:rPr>
        <w:footnoteReference w:id="4"/>
      </w:r>
    </w:p>
    <w:p w14:paraId="33B0A17C" w14:textId="040662D6" w:rsidR="002F5645" w:rsidRDefault="002F5645" w:rsidP="00C87BE7">
      <w:pPr>
        <w:jc w:val="both"/>
      </w:pPr>
      <w:r>
        <w:t xml:space="preserve">To show that adding </w:t>
      </w:r>
      <w:r w:rsidR="004963BE">
        <w:t xml:space="preserve">benefits to Vermont’s </w:t>
      </w:r>
      <w:r>
        <w:t xml:space="preserve">current benchmark plan would not cause the plan to exceed the generosity of the 2017 plan options, the </w:t>
      </w:r>
      <w:r w:rsidR="005F43C8">
        <w:t>S</w:t>
      </w:r>
      <w:r>
        <w:t xml:space="preserve">tate </w:t>
      </w:r>
      <w:r w:rsidR="00030F88">
        <w:t>must</w:t>
      </w:r>
      <w:r>
        <w:t xml:space="preserve"> provide an actuarial certification</w:t>
      </w:r>
      <w:r w:rsidR="00DB329E">
        <w:t xml:space="preserve"> to that effect</w:t>
      </w:r>
      <w:r>
        <w:t xml:space="preserve"> and report</w:t>
      </w:r>
      <w:r w:rsidR="00030F88">
        <w:t xml:space="preserve"> to </w:t>
      </w:r>
      <w:r w:rsidR="009412A8">
        <w:t>CMS</w:t>
      </w:r>
      <w:r w:rsidR="00397967">
        <w:t>.</w:t>
      </w:r>
      <w:r>
        <w:t xml:space="preserve"> The report </w:t>
      </w:r>
      <w:r w:rsidR="005F43C8">
        <w:t>is</w:t>
      </w:r>
      <w:r>
        <w:t xml:space="preserve"> based on an analysis of all plan options in comparison to the current benchmark plan. </w:t>
      </w:r>
    </w:p>
    <w:p w14:paraId="209E155D" w14:textId="48BD23E3" w:rsidR="00F949D1" w:rsidRDefault="007A144B" w:rsidP="006A4A57">
      <w:r>
        <w:t>Under 45 C.F.R. § 156.111, t</w:t>
      </w:r>
      <w:r w:rsidR="002F5645">
        <w:t xml:space="preserve">here are several other procedural </w:t>
      </w:r>
      <w:r w:rsidR="002F5645" w:rsidRPr="007A144B">
        <w:t>steps</w:t>
      </w:r>
      <w:r w:rsidR="002F5645">
        <w:t xml:space="preserve"> the state would then have to take to update the </w:t>
      </w:r>
      <w:r w:rsidR="00EA20C3">
        <w:t xml:space="preserve">plan </w:t>
      </w:r>
      <w:r w:rsidR="002F5645">
        <w:t>with CMS, including providing a reasonable public noti</w:t>
      </w:r>
      <w:r w:rsidR="00EA20C3">
        <w:t xml:space="preserve">ce </w:t>
      </w:r>
      <w:r w:rsidR="002F5645">
        <w:t xml:space="preserve">and an opportunity for public comment on the chosen benchmark plan benefit design. </w:t>
      </w:r>
      <w:r w:rsidR="00B62897">
        <w:t xml:space="preserve">Under </w:t>
      </w:r>
      <w:r w:rsidR="00107CEE" w:rsidRPr="00107CEE">
        <w:t>18 V.S.A. §</w:t>
      </w:r>
      <w:r w:rsidR="00276170">
        <w:t> </w:t>
      </w:r>
      <w:r w:rsidR="00107CEE" w:rsidRPr="00107CEE">
        <w:t>9375(b)(9)</w:t>
      </w:r>
      <w:r w:rsidR="000D29EA">
        <w:t xml:space="preserve">, </w:t>
      </w:r>
      <w:r w:rsidR="005523C5">
        <w:t xml:space="preserve">the </w:t>
      </w:r>
      <w:r w:rsidR="00150855">
        <w:t>u</w:t>
      </w:r>
      <w:r w:rsidR="00E2693A">
        <w:t>p</w:t>
      </w:r>
      <w:r w:rsidR="00361A32">
        <w:t xml:space="preserve">dated plan would </w:t>
      </w:r>
      <w:r w:rsidR="00107CEE">
        <w:t>also</w:t>
      </w:r>
      <w:r w:rsidR="00361A32">
        <w:t xml:space="preserve"> need to</w:t>
      </w:r>
      <w:r w:rsidR="000D29EA">
        <w:t xml:space="preserve"> </w:t>
      </w:r>
      <w:r w:rsidR="004A7067">
        <w:t xml:space="preserve">be </w:t>
      </w:r>
      <w:r w:rsidR="00107CEE">
        <w:t xml:space="preserve">reviewed and </w:t>
      </w:r>
      <w:r w:rsidR="004A7067">
        <w:t xml:space="preserve">approved by the Green Mountain Care </w:t>
      </w:r>
      <w:r w:rsidR="00B62897">
        <w:t xml:space="preserve">Board. </w:t>
      </w:r>
      <w:r w:rsidR="00DB329E">
        <w:t>The following timeline illustrates those steps</w:t>
      </w:r>
      <w:r w:rsidR="008D1C3A">
        <w:t>:</w:t>
      </w:r>
    </w:p>
    <w:p w14:paraId="4D6A15AA" w14:textId="77777777" w:rsidR="00F949D1" w:rsidRDefault="00F949D1" w:rsidP="00C87BE7">
      <w:pPr>
        <w:pStyle w:val="Heading2"/>
        <w:jc w:val="both"/>
      </w:pPr>
    </w:p>
    <w:p w14:paraId="74C1922A" w14:textId="77777777" w:rsidR="00D41B8E" w:rsidRDefault="00D41B8E" w:rsidP="00C87BE7">
      <w:pPr>
        <w:jc w:val="both"/>
      </w:pPr>
    </w:p>
    <w:tbl>
      <w:tblPr>
        <w:tblStyle w:val="TableGrid"/>
        <w:tblW w:w="0" w:type="auto"/>
        <w:tblLook w:val="04A0" w:firstRow="1" w:lastRow="0" w:firstColumn="1" w:lastColumn="0" w:noHBand="0" w:noVBand="1"/>
      </w:tblPr>
      <w:tblGrid>
        <w:gridCol w:w="3116"/>
        <w:gridCol w:w="3117"/>
        <w:gridCol w:w="3117"/>
      </w:tblGrid>
      <w:tr w:rsidR="00B521E8" w14:paraId="00F87E2E" w14:textId="77777777" w:rsidTr="00B521E8">
        <w:tc>
          <w:tcPr>
            <w:tcW w:w="3116" w:type="dxa"/>
          </w:tcPr>
          <w:p w14:paraId="2B7B1669" w14:textId="5FDB1446" w:rsidR="00B521E8" w:rsidRPr="00D342F6" w:rsidRDefault="00B521E8" w:rsidP="00C87BE7">
            <w:pPr>
              <w:jc w:val="both"/>
              <w:rPr>
                <w:b/>
                <w:bCs/>
              </w:rPr>
            </w:pPr>
            <w:r w:rsidRPr="00D342F6">
              <w:rPr>
                <w:b/>
                <w:bCs/>
              </w:rPr>
              <w:t>Task</w:t>
            </w:r>
          </w:p>
        </w:tc>
        <w:tc>
          <w:tcPr>
            <w:tcW w:w="3117" w:type="dxa"/>
          </w:tcPr>
          <w:p w14:paraId="2C177C62" w14:textId="1A3B92B9" w:rsidR="00B521E8" w:rsidRPr="00D342F6" w:rsidRDefault="00B521E8" w:rsidP="00C87BE7">
            <w:pPr>
              <w:jc w:val="both"/>
              <w:rPr>
                <w:b/>
                <w:bCs/>
              </w:rPr>
            </w:pPr>
            <w:r w:rsidRPr="00D342F6">
              <w:rPr>
                <w:b/>
                <w:bCs/>
              </w:rPr>
              <w:t>Date</w:t>
            </w:r>
          </w:p>
        </w:tc>
        <w:tc>
          <w:tcPr>
            <w:tcW w:w="3117" w:type="dxa"/>
          </w:tcPr>
          <w:p w14:paraId="1C0B84F5" w14:textId="339E7322" w:rsidR="00B521E8" w:rsidRPr="00D342F6" w:rsidRDefault="00B521E8" w:rsidP="00C87BE7">
            <w:pPr>
              <w:jc w:val="both"/>
              <w:rPr>
                <w:b/>
                <w:bCs/>
              </w:rPr>
            </w:pPr>
            <w:r w:rsidRPr="00D342F6">
              <w:rPr>
                <w:b/>
                <w:bCs/>
              </w:rPr>
              <w:t>Detail</w:t>
            </w:r>
          </w:p>
        </w:tc>
      </w:tr>
      <w:tr w:rsidR="00B521E8" w14:paraId="6378976A" w14:textId="77777777" w:rsidTr="00B521E8">
        <w:tc>
          <w:tcPr>
            <w:tcW w:w="3116" w:type="dxa"/>
          </w:tcPr>
          <w:p w14:paraId="580D4FA6" w14:textId="43C9A46A" w:rsidR="00B521E8" w:rsidRPr="007B5869" w:rsidRDefault="00B521E8" w:rsidP="00C87BE7">
            <w:pPr>
              <w:jc w:val="both"/>
            </w:pPr>
            <w:r w:rsidRPr="007B5869">
              <w:t xml:space="preserve">Legislative </w:t>
            </w:r>
            <w:r w:rsidR="001005CA" w:rsidRPr="007B5869">
              <w:t>Report with Findings</w:t>
            </w:r>
          </w:p>
        </w:tc>
        <w:tc>
          <w:tcPr>
            <w:tcW w:w="3117" w:type="dxa"/>
          </w:tcPr>
          <w:p w14:paraId="11B58234" w14:textId="3B216B7F" w:rsidR="00B521E8" w:rsidRPr="007B5869" w:rsidRDefault="001005CA" w:rsidP="00C87BE7">
            <w:pPr>
              <w:jc w:val="both"/>
            </w:pPr>
            <w:r w:rsidRPr="007B5869">
              <w:t>January 2022</w:t>
            </w:r>
          </w:p>
        </w:tc>
        <w:tc>
          <w:tcPr>
            <w:tcW w:w="3117" w:type="dxa"/>
          </w:tcPr>
          <w:p w14:paraId="7B50BD3C" w14:textId="7A09FE60" w:rsidR="00B521E8" w:rsidRPr="007B5869" w:rsidRDefault="00A27D74" w:rsidP="007C36DF">
            <w:r w:rsidRPr="007B5869">
              <w:t>Summary of work to date and benefit proposal</w:t>
            </w:r>
          </w:p>
        </w:tc>
      </w:tr>
      <w:tr w:rsidR="00B521E8" w14:paraId="61A2F926" w14:textId="77777777" w:rsidTr="00B521E8">
        <w:tc>
          <w:tcPr>
            <w:tcW w:w="3116" w:type="dxa"/>
          </w:tcPr>
          <w:p w14:paraId="245597A6" w14:textId="5BC9E436" w:rsidR="00B521E8" w:rsidRPr="007B5869" w:rsidRDefault="00A27D74" w:rsidP="00C87BE7">
            <w:pPr>
              <w:jc w:val="both"/>
            </w:pPr>
            <w:r w:rsidRPr="007B5869">
              <w:t>Presentation to GMCB</w:t>
            </w:r>
          </w:p>
        </w:tc>
        <w:tc>
          <w:tcPr>
            <w:tcW w:w="3117" w:type="dxa"/>
          </w:tcPr>
          <w:p w14:paraId="02A7827E" w14:textId="446E0AE4" w:rsidR="00B521E8" w:rsidRPr="007B5869" w:rsidRDefault="00A27D74" w:rsidP="00C87BE7">
            <w:pPr>
              <w:jc w:val="both"/>
            </w:pPr>
            <w:r w:rsidRPr="007B5869">
              <w:t>February 2022</w:t>
            </w:r>
          </w:p>
        </w:tc>
        <w:tc>
          <w:tcPr>
            <w:tcW w:w="3117" w:type="dxa"/>
          </w:tcPr>
          <w:p w14:paraId="6F45BE50" w14:textId="1B16AA23" w:rsidR="00B521E8" w:rsidRPr="007B5869" w:rsidRDefault="007B5869" w:rsidP="007C36DF">
            <w:r w:rsidRPr="007B5869">
              <w:t xml:space="preserve">Presentation to </w:t>
            </w:r>
            <w:r w:rsidR="00260486">
              <w:t>B</w:t>
            </w:r>
            <w:r w:rsidR="00260486" w:rsidRPr="007B5869">
              <w:t xml:space="preserve">oard </w:t>
            </w:r>
            <w:r w:rsidRPr="007B5869">
              <w:t xml:space="preserve">for </w:t>
            </w:r>
            <w:r w:rsidR="00B0481C">
              <w:t>Qualified Health Plan (</w:t>
            </w:r>
            <w:r w:rsidRPr="007B5869">
              <w:t>QHP</w:t>
            </w:r>
            <w:r w:rsidR="00B0481C">
              <w:t>)</w:t>
            </w:r>
            <w:r w:rsidRPr="007B5869">
              <w:t xml:space="preserve"> approval</w:t>
            </w:r>
          </w:p>
        </w:tc>
      </w:tr>
      <w:tr w:rsidR="00B521E8" w14:paraId="503940ED" w14:textId="77777777" w:rsidTr="00B521E8">
        <w:tc>
          <w:tcPr>
            <w:tcW w:w="3116" w:type="dxa"/>
          </w:tcPr>
          <w:p w14:paraId="443D21E9" w14:textId="0183AAF4" w:rsidR="00B521E8" w:rsidRPr="007B5869" w:rsidRDefault="007B5869" w:rsidP="00C87BE7">
            <w:pPr>
              <w:jc w:val="both"/>
            </w:pPr>
            <w:r w:rsidRPr="007B5869">
              <w:t>GMCB Public Comment Period</w:t>
            </w:r>
          </w:p>
        </w:tc>
        <w:tc>
          <w:tcPr>
            <w:tcW w:w="3117" w:type="dxa"/>
          </w:tcPr>
          <w:p w14:paraId="784AD230" w14:textId="334200B9" w:rsidR="00B521E8" w:rsidRPr="007B5869" w:rsidRDefault="007B5869" w:rsidP="00C87BE7">
            <w:pPr>
              <w:jc w:val="both"/>
            </w:pPr>
            <w:r w:rsidRPr="007B5869">
              <w:t>February - March 2022</w:t>
            </w:r>
          </w:p>
        </w:tc>
        <w:tc>
          <w:tcPr>
            <w:tcW w:w="3117" w:type="dxa"/>
          </w:tcPr>
          <w:p w14:paraId="696E86E0" w14:textId="77777777" w:rsidR="00B521E8" w:rsidRPr="007B5869" w:rsidRDefault="00B521E8" w:rsidP="007C36DF"/>
        </w:tc>
      </w:tr>
      <w:tr w:rsidR="00B521E8" w14:paraId="3B74E72B" w14:textId="77777777" w:rsidTr="00B521E8">
        <w:tc>
          <w:tcPr>
            <w:tcW w:w="3116" w:type="dxa"/>
          </w:tcPr>
          <w:p w14:paraId="3F7CA01C" w14:textId="6349C74B" w:rsidR="00B521E8" w:rsidRPr="007B5869" w:rsidRDefault="00316153" w:rsidP="00C87BE7">
            <w:pPr>
              <w:jc w:val="both"/>
            </w:pPr>
            <w:r>
              <w:t>CMS Update</w:t>
            </w:r>
          </w:p>
        </w:tc>
        <w:tc>
          <w:tcPr>
            <w:tcW w:w="3117" w:type="dxa"/>
          </w:tcPr>
          <w:p w14:paraId="2B172E1C" w14:textId="6DB414D6" w:rsidR="00B521E8" w:rsidRPr="007B5869" w:rsidRDefault="00316153" w:rsidP="00C87BE7">
            <w:pPr>
              <w:jc w:val="both"/>
            </w:pPr>
            <w:r>
              <w:t>March</w:t>
            </w:r>
            <w:r w:rsidR="00736197">
              <w:t xml:space="preserve"> 2022</w:t>
            </w:r>
          </w:p>
        </w:tc>
        <w:tc>
          <w:tcPr>
            <w:tcW w:w="3117" w:type="dxa"/>
          </w:tcPr>
          <w:p w14:paraId="3350BD24" w14:textId="397BE7E8" w:rsidR="00B521E8" w:rsidRPr="007B5869" w:rsidRDefault="00316153" w:rsidP="007C36DF">
            <w:r>
              <w:t xml:space="preserve">Prior to </w:t>
            </w:r>
            <w:r w:rsidR="00260486">
              <w:t>CMS-</w:t>
            </w:r>
            <w:r>
              <w:t>required public comment period</w:t>
            </w:r>
          </w:p>
        </w:tc>
      </w:tr>
      <w:tr w:rsidR="00B521E8" w14:paraId="6CACC8DC" w14:textId="77777777" w:rsidTr="00B521E8">
        <w:tc>
          <w:tcPr>
            <w:tcW w:w="3116" w:type="dxa"/>
          </w:tcPr>
          <w:p w14:paraId="0ED53557" w14:textId="2563982E" w:rsidR="00B521E8" w:rsidRPr="007B5869" w:rsidRDefault="00CD7F86" w:rsidP="00C87BE7">
            <w:pPr>
              <w:jc w:val="both"/>
            </w:pPr>
            <w:r>
              <w:t>Public Comment</w:t>
            </w:r>
            <w:r w:rsidR="00DB329E">
              <w:t xml:space="preserve"> Period</w:t>
            </w:r>
          </w:p>
        </w:tc>
        <w:tc>
          <w:tcPr>
            <w:tcW w:w="3117" w:type="dxa"/>
          </w:tcPr>
          <w:p w14:paraId="246C007B" w14:textId="15119C4F" w:rsidR="00B521E8" w:rsidRPr="007B5869" w:rsidRDefault="00CD7F86" w:rsidP="00C87BE7">
            <w:pPr>
              <w:jc w:val="both"/>
            </w:pPr>
            <w:r>
              <w:t>March</w:t>
            </w:r>
            <w:r w:rsidR="00DB329E">
              <w:t>/April</w:t>
            </w:r>
            <w:r>
              <w:t xml:space="preserve"> </w:t>
            </w:r>
            <w:r w:rsidR="00736197">
              <w:t>2022</w:t>
            </w:r>
          </w:p>
        </w:tc>
        <w:tc>
          <w:tcPr>
            <w:tcW w:w="3117" w:type="dxa"/>
          </w:tcPr>
          <w:p w14:paraId="5E5B3929" w14:textId="13D1D980" w:rsidR="00B521E8" w:rsidRPr="007B5869" w:rsidRDefault="00BD3A8B" w:rsidP="007C36DF">
            <w:r>
              <w:t>30-day</w:t>
            </w:r>
            <w:r w:rsidR="00DB329E">
              <w:t xml:space="preserve"> public comment period</w:t>
            </w:r>
          </w:p>
        </w:tc>
      </w:tr>
      <w:tr w:rsidR="00B521E8" w14:paraId="1850ED3E" w14:textId="77777777" w:rsidTr="00B521E8">
        <w:tc>
          <w:tcPr>
            <w:tcW w:w="3116" w:type="dxa"/>
          </w:tcPr>
          <w:p w14:paraId="3BA2A080" w14:textId="0EE72595" w:rsidR="00B521E8" w:rsidRPr="007B5869" w:rsidRDefault="00CD7F86" w:rsidP="00C87BE7">
            <w:pPr>
              <w:jc w:val="both"/>
            </w:pPr>
            <w:r>
              <w:t>Official CMS Submission</w:t>
            </w:r>
          </w:p>
        </w:tc>
        <w:tc>
          <w:tcPr>
            <w:tcW w:w="3117" w:type="dxa"/>
          </w:tcPr>
          <w:p w14:paraId="68F41CA6" w14:textId="624AD5EC" w:rsidR="00B521E8" w:rsidRPr="007B5869" w:rsidRDefault="00CD7F86" w:rsidP="00C87BE7">
            <w:pPr>
              <w:jc w:val="both"/>
            </w:pPr>
            <w:r>
              <w:t>April</w:t>
            </w:r>
            <w:r w:rsidR="00736197">
              <w:t xml:space="preserve"> 2022</w:t>
            </w:r>
          </w:p>
        </w:tc>
        <w:tc>
          <w:tcPr>
            <w:tcW w:w="3117" w:type="dxa"/>
          </w:tcPr>
          <w:p w14:paraId="77FBF773" w14:textId="77777777" w:rsidR="00B521E8" w:rsidRPr="007B5869" w:rsidRDefault="00B521E8" w:rsidP="007C36DF"/>
        </w:tc>
      </w:tr>
      <w:tr w:rsidR="00B521E8" w14:paraId="184BE0DA" w14:textId="77777777" w:rsidTr="00B521E8">
        <w:tc>
          <w:tcPr>
            <w:tcW w:w="3116" w:type="dxa"/>
          </w:tcPr>
          <w:p w14:paraId="73AA1DBD" w14:textId="293F1870" w:rsidR="00B521E8" w:rsidRPr="007B5869" w:rsidRDefault="00736197" w:rsidP="00C87BE7">
            <w:pPr>
              <w:jc w:val="both"/>
            </w:pPr>
            <w:r>
              <w:t xml:space="preserve">CMS Review and Finalization </w:t>
            </w:r>
          </w:p>
        </w:tc>
        <w:tc>
          <w:tcPr>
            <w:tcW w:w="3117" w:type="dxa"/>
          </w:tcPr>
          <w:p w14:paraId="6043E108" w14:textId="03C24657" w:rsidR="00B521E8" w:rsidRPr="007B5869" w:rsidRDefault="00736197" w:rsidP="00C87BE7">
            <w:pPr>
              <w:jc w:val="both"/>
            </w:pPr>
            <w:r>
              <w:t>May-August 2022</w:t>
            </w:r>
          </w:p>
        </w:tc>
        <w:tc>
          <w:tcPr>
            <w:tcW w:w="3117" w:type="dxa"/>
          </w:tcPr>
          <w:p w14:paraId="271CD609" w14:textId="77777777" w:rsidR="00B521E8" w:rsidRPr="007B5869" w:rsidRDefault="00B521E8" w:rsidP="007C36DF"/>
        </w:tc>
      </w:tr>
      <w:tr w:rsidR="00736197" w14:paraId="400F2B2F" w14:textId="77777777" w:rsidTr="00B521E8">
        <w:tc>
          <w:tcPr>
            <w:tcW w:w="3116" w:type="dxa"/>
          </w:tcPr>
          <w:p w14:paraId="4602F225" w14:textId="23ED0BFC" w:rsidR="00736197" w:rsidRDefault="00FD6C7E" w:rsidP="00C87BE7">
            <w:pPr>
              <w:jc w:val="both"/>
            </w:pPr>
            <w:r>
              <w:t xml:space="preserve">New Plan </w:t>
            </w:r>
            <w:r w:rsidR="007A7D63">
              <w:t>Review</w:t>
            </w:r>
          </w:p>
        </w:tc>
        <w:tc>
          <w:tcPr>
            <w:tcW w:w="3117" w:type="dxa"/>
          </w:tcPr>
          <w:p w14:paraId="7A104C0E" w14:textId="042461CF" w:rsidR="00736197" w:rsidRDefault="007A7D63" w:rsidP="00C87BE7">
            <w:pPr>
              <w:jc w:val="both"/>
            </w:pPr>
            <w:r>
              <w:t>March 2023</w:t>
            </w:r>
          </w:p>
        </w:tc>
        <w:tc>
          <w:tcPr>
            <w:tcW w:w="3117" w:type="dxa"/>
          </w:tcPr>
          <w:p w14:paraId="5E42B463" w14:textId="61396CA0" w:rsidR="00736197" w:rsidRPr="007B5869" w:rsidRDefault="00F26FFC" w:rsidP="007C36DF">
            <w:r>
              <w:t>DFR to review new contract language. GMCB to review premium impact.</w:t>
            </w:r>
          </w:p>
        </w:tc>
      </w:tr>
      <w:tr w:rsidR="007A7D63" w14:paraId="06168AC2" w14:textId="77777777" w:rsidTr="00B521E8">
        <w:tc>
          <w:tcPr>
            <w:tcW w:w="3116" w:type="dxa"/>
          </w:tcPr>
          <w:p w14:paraId="07103859" w14:textId="6346A882" w:rsidR="007A7D63" w:rsidRDefault="00D342F6" w:rsidP="00C87BE7">
            <w:pPr>
              <w:jc w:val="both"/>
            </w:pPr>
            <w:r>
              <w:t>Implementation of New Plans</w:t>
            </w:r>
          </w:p>
        </w:tc>
        <w:tc>
          <w:tcPr>
            <w:tcW w:w="3117" w:type="dxa"/>
          </w:tcPr>
          <w:p w14:paraId="144E7571" w14:textId="28EC73A7" w:rsidR="007A7D63" w:rsidRDefault="00FD77E8" w:rsidP="00C87BE7">
            <w:pPr>
              <w:jc w:val="both"/>
            </w:pPr>
            <w:r>
              <w:t>January 2024</w:t>
            </w:r>
          </w:p>
        </w:tc>
        <w:tc>
          <w:tcPr>
            <w:tcW w:w="3117" w:type="dxa"/>
          </w:tcPr>
          <w:p w14:paraId="20FC31FD" w14:textId="09BA4FD3" w:rsidR="007A7D63" w:rsidRPr="007B5869" w:rsidRDefault="00F26FFC" w:rsidP="007C36DF">
            <w:r>
              <w:t xml:space="preserve">Plans with new benefits effective </w:t>
            </w:r>
            <w:r w:rsidR="008E12F5">
              <w:t>for plan year 2024</w:t>
            </w:r>
          </w:p>
        </w:tc>
      </w:tr>
    </w:tbl>
    <w:p w14:paraId="7287A24C" w14:textId="74AC2155" w:rsidR="00D41B8E" w:rsidRPr="00D41B8E" w:rsidRDefault="00D41B8E" w:rsidP="00C87BE7">
      <w:pPr>
        <w:spacing w:after="0"/>
        <w:jc w:val="both"/>
        <w:rPr>
          <w:b/>
          <w:bCs/>
        </w:rPr>
      </w:pPr>
    </w:p>
    <w:p w14:paraId="3E29BC2B" w14:textId="79631CB4" w:rsidR="0099471E" w:rsidRDefault="008D29A8" w:rsidP="00C93224">
      <w:pPr>
        <w:pStyle w:val="Heading1"/>
        <w:numPr>
          <w:ilvl w:val="0"/>
          <w:numId w:val="15"/>
        </w:numPr>
        <w:spacing w:before="0"/>
        <w:jc w:val="both"/>
      </w:pPr>
      <w:bookmarkStart w:id="5" w:name="_Toc93557854"/>
      <w:r>
        <w:t xml:space="preserve">Alignment with </w:t>
      </w:r>
      <w:r w:rsidR="00770A08">
        <w:t>State Health Care Reform Goals</w:t>
      </w:r>
      <w:bookmarkEnd w:id="5"/>
      <w:r>
        <w:t xml:space="preserve"> </w:t>
      </w:r>
    </w:p>
    <w:p w14:paraId="0B303B90" w14:textId="5469A75A" w:rsidR="000953AA" w:rsidRDefault="000953AA" w:rsidP="00C87BE7">
      <w:pPr>
        <w:spacing w:after="0"/>
        <w:jc w:val="both"/>
      </w:pPr>
    </w:p>
    <w:p w14:paraId="74460FB1" w14:textId="7037409B" w:rsidR="000953AA" w:rsidRDefault="000953AA" w:rsidP="00C87BE7">
      <w:pPr>
        <w:spacing w:after="0"/>
        <w:jc w:val="both"/>
      </w:pPr>
      <w:r>
        <w:t xml:space="preserve">Act 74 asked the Department </w:t>
      </w:r>
      <w:r w:rsidR="001B0942">
        <w:t xml:space="preserve">to review Vermont’s benchmark plan to assess whether the </w:t>
      </w:r>
      <w:r w:rsidR="00F96779">
        <w:t xml:space="preserve">plan is appropriately aligned with Vermont’s health care reform goals regarding population health and prevention. These goals are set forth in the Vermont All-Payer </w:t>
      </w:r>
      <w:r w:rsidR="003C721F">
        <w:t>ACO</w:t>
      </w:r>
      <w:r w:rsidR="00CF58C8">
        <w:t xml:space="preserve"> Model </w:t>
      </w:r>
      <w:r w:rsidR="003C721F">
        <w:t>A</w:t>
      </w:r>
      <w:r w:rsidR="00CF58C8">
        <w:t xml:space="preserve">greement </w:t>
      </w:r>
      <w:r w:rsidR="001B27BA">
        <w:t>(</w:t>
      </w:r>
      <w:r w:rsidR="00654411">
        <w:t xml:space="preserve">also referred to as </w:t>
      </w:r>
      <w:r w:rsidR="00B51261">
        <w:t>“</w:t>
      </w:r>
      <w:r w:rsidR="001B27BA">
        <w:t>Agreement</w:t>
      </w:r>
      <w:r w:rsidR="00B51261">
        <w:t>”</w:t>
      </w:r>
      <w:r w:rsidR="001B27BA">
        <w:t>)</w:t>
      </w:r>
      <w:r w:rsidR="00CF58C8">
        <w:t xml:space="preserve"> and the Department of Health’</w:t>
      </w:r>
      <w:r w:rsidR="00504635">
        <w:t>s</w:t>
      </w:r>
      <w:r w:rsidR="00CF58C8">
        <w:t xml:space="preserve"> State Health Improvement Plan. </w:t>
      </w:r>
    </w:p>
    <w:p w14:paraId="2EA5787B" w14:textId="77777777" w:rsidR="00C7595F" w:rsidRDefault="00C7595F" w:rsidP="00C87BE7">
      <w:pPr>
        <w:spacing w:after="0"/>
        <w:jc w:val="both"/>
      </w:pPr>
    </w:p>
    <w:p w14:paraId="63DF3DD1" w14:textId="387DC7AC" w:rsidR="00770A08" w:rsidRDefault="00BE786D" w:rsidP="00C87BE7">
      <w:pPr>
        <w:pStyle w:val="Heading2"/>
        <w:jc w:val="both"/>
      </w:pPr>
      <w:bookmarkStart w:id="6" w:name="_Toc93557855"/>
      <w:r>
        <w:t>All</w:t>
      </w:r>
      <w:r w:rsidR="003C721F">
        <w:t>-</w:t>
      </w:r>
      <w:r>
        <w:t xml:space="preserve">Payer ACO Model </w:t>
      </w:r>
      <w:r w:rsidR="003C721F">
        <w:t>Agreement</w:t>
      </w:r>
      <w:bookmarkEnd w:id="6"/>
    </w:p>
    <w:p w14:paraId="27162C14" w14:textId="77777777" w:rsidR="00770A08" w:rsidRPr="00770A08" w:rsidRDefault="00770A08" w:rsidP="00C87BE7">
      <w:pPr>
        <w:spacing w:after="0"/>
        <w:jc w:val="both"/>
      </w:pPr>
    </w:p>
    <w:p w14:paraId="2A3D49AE" w14:textId="7A72DD5A" w:rsidR="00DD3E3B" w:rsidRDefault="00BE786D" w:rsidP="00C87BE7">
      <w:pPr>
        <w:jc w:val="both"/>
      </w:pPr>
      <w:r>
        <w:t>The All-Payer</w:t>
      </w:r>
      <w:r w:rsidR="006B2971">
        <w:t xml:space="preserve"> </w:t>
      </w:r>
      <w:r w:rsidR="003C721F">
        <w:t>ACO</w:t>
      </w:r>
      <w:r>
        <w:t xml:space="preserve"> Model</w:t>
      </w:r>
      <w:r w:rsidR="006B2971">
        <w:t xml:space="preserve"> Agreement</w:t>
      </w:r>
      <w:r w:rsidR="003C721F">
        <w:t xml:space="preserve"> </w:t>
      </w:r>
      <w:r>
        <w:t xml:space="preserve">is </w:t>
      </w:r>
      <w:r w:rsidR="006B2971">
        <w:t>a contract between</w:t>
      </w:r>
      <w:r>
        <w:t xml:space="preserve"> </w:t>
      </w:r>
      <w:r w:rsidR="006B2971">
        <w:t xml:space="preserve">the </w:t>
      </w:r>
      <w:r>
        <w:t>Centers for Medicare and Medica</w:t>
      </w:r>
      <w:r w:rsidR="003B77FB">
        <w:t>id</w:t>
      </w:r>
      <w:r>
        <w:t xml:space="preserve"> Services (CMS)</w:t>
      </w:r>
      <w:r w:rsidR="002B3FE6">
        <w:t xml:space="preserve"> and the State of Vermont. The </w:t>
      </w:r>
      <w:r w:rsidR="00FA6490">
        <w:t>A</w:t>
      </w:r>
      <w:r w:rsidR="002B3FE6">
        <w:t>greement enables Medicare to align with Medicaid and commercial pa</w:t>
      </w:r>
      <w:r w:rsidR="00843C60">
        <w:t>yers</w:t>
      </w:r>
      <w:r w:rsidR="009A4E46">
        <w:t xml:space="preserve"> </w:t>
      </w:r>
      <w:r w:rsidR="00136663">
        <w:t>to explore new ways of financing and delivering health care</w:t>
      </w:r>
      <w:r w:rsidR="009A4E46">
        <w:t xml:space="preserve"> in Vermont</w:t>
      </w:r>
      <w:r w:rsidR="00136663">
        <w:t xml:space="preserve">. </w:t>
      </w:r>
      <w:r w:rsidR="00DD3E3B">
        <w:t xml:space="preserve">The </w:t>
      </w:r>
      <w:r w:rsidR="009A4E46">
        <w:t>A</w:t>
      </w:r>
      <w:r w:rsidR="00DD3E3B">
        <w:t xml:space="preserve">greement requires Vermont to meet </w:t>
      </w:r>
      <w:r w:rsidR="009A4E46">
        <w:t xml:space="preserve">three high level </w:t>
      </w:r>
      <w:r w:rsidR="00DD3E3B">
        <w:t>population health goals:</w:t>
      </w:r>
    </w:p>
    <w:p w14:paraId="50A99FC8" w14:textId="679CEEE7" w:rsidR="00DD3E3B" w:rsidRDefault="00DD3E3B" w:rsidP="00C87BE7">
      <w:pPr>
        <w:pStyle w:val="ListParagraph"/>
        <w:numPr>
          <w:ilvl w:val="0"/>
          <w:numId w:val="12"/>
        </w:numPr>
        <w:jc w:val="both"/>
      </w:pPr>
      <w:r>
        <w:t>Improving access to primary care</w:t>
      </w:r>
    </w:p>
    <w:p w14:paraId="0A860271" w14:textId="2F6AFFB9" w:rsidR="00DD3E3B" w:rsidRDefault="00DD3E3B" w:rsidP="00C87BE7">
      <w:pPr>
        <w:pStyle w:val="ListParagraph"/>
        <w:numPr>
          <w:ilvl w:val="0"/>
          <w:numId w:val="12"/>
        </w:numPr>
        <w:jc w:val="both"/>
      </w:pPr>
      <w:r>
        <w:t>Reducing deaths due to suicide and drug overdose</w:t>
      </w:r>
    </w:p>
    <w:p w14:paraId="36E11F45" w14:textId="5FA4FCDD" w:rsidR="00DD3E3B" w:rsidRDefault="00DD3E3B" w:rsidP="00C87BE7">
      <w:pPr>
        <w:pStyle w:val="ListParagraph"/>
        <w:numPr>
          <w:ilvl w:val="0"/>
          <w:numId w:val="12"/>
        </w:numPr>
        <w:jc w:val="both"/>
      </w:pPr>
      <w:r>
        <w:t>Reducing prevalence and mo</w:t>
      </w:r>
      <w:r w:rsidR="009F1E1F">
        <w:t>rbidity of chronic diseases</w:t>
      </w:r>
    </w:p>
    <w:p w14:paraId="57859D26" w14:textId="4E57D424" w:rsidR="009F1E1F" w:rsidRDefault="009F1E1F" w:rsidP="00C87BE7">
      <w:pPr>
        <w:jc w:val="both"/>
      </w:pPr>
      <w:r>
        <w:t xml:space="preserve">These population health goals were used as a </w:t>
      </w:r>
      <w:r w:rsidR="004248B7">
        <w:t>lens</w:t>
      </w:r>
      <w:r>
        <w:t xml:space="preserve"> under </w:t>
      </w:r>
      <w:r w:rsidR="004248B7">
        <w:t xml:space="preserve">which each </w:t>
      </w:r>
      <w:r w:rsidR="00DB329E">
        <w:t xml:space="preserve">potential additional </w:t>
      </w:r>
      <w:r w:rsidR="004248B7">
        <w:t>benefit was analyzed</w:t>
      </w:r>
      <w:r w:rsidR="003B656D">
        <w:t>. In the benefits section below</w:t>
      </w:r>
      <w:r w:rsidR="00B51261">
        <w:t>,</w:t>
      </w:r>
      <w:r w:rsidR="003B656D">
        <w:t xml:space="preserve"> the report identifies how each benefit would help Vermont </w:t>
      </w:r>
      <w:r w:rsidR="009062BF">
        <w:t>accomplish</w:t>
      </w:r>
      <w:r w:rsidR="003B656D">
        <w:t xml:space="preserve"> the</w:t>
      </w:r>
      <w:r w:rsidR="009062BF">
        <w:t>se</w:t>
      </w:r>
      <w:r w:rsidR="003B656D">
        <w:t xml:space="preserve"> </w:t>
      </w:r>
      <w:r w:rsidR="00835444">
        <w:t>population health goals</w:t>
      </w:r>
      <w:r w:rsidR="00B51261">
        <w:t>.</w:t>
      </w:r>
      <w:r w:rsidR="00835444">
        <w:t xml:space="preserve"> </w:t>
      </w:r>
    </w:p>
    <w:p w14:paraId="27D15953" w14:textId="13CE55A8" w:rsidR="00770A08" w:rsidRDefault="00770A08" w:rsidP="00562D79">
      <w:pPr>
        <w:pStyle w:val="Heading2"/>
        <w:spacing w:before="0" w:after="240"/>
        <w:jc w:val="both"/>
      </w:pPr>
      <w:bookmarkStart w:id="7" w:name="_Toc93557856"/>
      <w:r>
        <w:lastRenderedPageBreak/>
        <w:t>State Health Improvement Plan</w:t>
      </w:r>
      <w:bookmarkEnd w:id="7"/>
      <w:r>
        <w:t xml:space="preserve"> </w:t>
      </w:r>
    </w:p>
    <w:p w14:paraId="34BC3F8F" w14:textId="1E220F1A" w:rsidR="00953D27" w:rsidRDefault="00914E25" w:rsidP="00C87BE7">
      <w:pPr>
        <w:jc w:val="both"/>
      </w:pPr>
      <w:r>
        <w:t xml:space="preserve">The State Health Improvement Plan (SHIP) </w:t>
      </w:r>
      <w:r w:rsidR="00F4365A">
        <w:t xml:space="preserve">outlines </w:t>
      </w:r>
      <w:r w:rsidR="00024425">
        <w:t xml:space="preserve">strategies and </w:t>
      </w:r>
      <w:r w:rsidR="00F4365A">
        <w:t>priorities for Vermont to improve health outcomes</w:t>
      </w:r>
      <w:r w:rsidR="00437E3F">
        <w:t xml:space="preserve"> with the goal of working towards health equity, affordability, and </w:t>
      </w:r>
      <w:r w:rsidR="00986AB5">
        <w:t xml:space="preserve">access. The top </w:t>
      </w:r>
      <w:r w:rsidR="00B51261">
        <w:t>strategies</w:t>
      </w:r>
      <w:r w:rsidR="00986AB5">
        <w:t xml:space="preserve"> for SHIP include in</w:t>
      </w:r>
      <w:r w:rsidR="0069616E">
        <w:t>vesting in policies and infrastructure that create healthy communities</w:t>
      </w:r>
      <w:r w:rsidR="00DB329E">
        <w:t>;</w:t>
      </w:r>
      <w:r w:rsidR="0069616E">
        <w:t xml:space="preserve"> investing in programs that promote resilience</w:t>
      </w:r>
      <w:r w:rsidR="00DB329E">
        <w:t>,</w:t>
      </w:r>
      <w:r w:rsidR="0069616E">
        <w:t xml:space="preserve"> connection and belonging</w:t>
      </w:r>
      <w:r w:rsidR="00D81883">
        <w:t>;</w:t>
      </w:r>
      <w:r w:rsidR="00757E1B">
        <w:t xml:space="preserve"> </w:t>
      </w:r>
      <w:r w:rsidR="0069616E">
        <w:t xml:space="preserve">expanding access to integrated </w:t>
      </w:r>
      <w:r w:rsidR="00BC2F01">
        <w:t>person-centered</w:t>
      </w:r>
      <w:r w:rsidR="0069616E">
        <w:t xml:space="preserve"> care</w:t>
      </w:r>
      <w:r w:rsidR="00DB329E">
        <w:t>;</w:t>
      </w:r>
      <w:r w:rsidR="00757E1B">
        <w:t xml:space="preserve"> and adopt</w:t>
      </w:r>
      <w:r w:rsidR="00DB329E">
        <w:t>ing</w:t>
      </w:r>
      <w:r w:rsidR="00757E1B">
        <w:t xml:space="preserve"> organizational and institutional practices that advance equity</w:t>
      </w:r>
      <w:r w:rsidR="00E439C2">
        <w:t xml:space="preserve"> </w:t>
      </w:r>
      <w:r w:rsidR="00311017">
        <w:t>w</w:t>
      </w:r>
      <w:r w:rsidR="00E439C2">
        <w:t>ith the goals of imp</w:t>
      </w:r>
      <w:r w:rsidR="00953D27">
        <w:t>roving outcomes in six priority health and social conditions:</w:t>
      </w:r>
    </w:p>
    <w:p w14:paraId="1B1FA163" w14:textId="77777777" w:rsidR="00953D27" w:rsidRPr="00953D27" w:rsidRDefault="00953D27" w:rsidP="00C87BE7">
      <w:pPr>
        <w:pStyle w:val="ListParagraph"/>
        <w:numPr>
          <w:ilvl w:val="0"/>
          <w:numId w:val="11"/>
        </w:numPr>
        <w:spacing w:after="0" w:line="240" w:lineRule="auto"/>
        <w:jc w:val="both"/>
      </w:pPr>
      <w:r w:rsidRPr="00953D27">
        <w:t>Child Development</w:t>
      </w:r>
    </w:p>
    <w:p w14:paraId="277F1B46" w14:textId="77777777" w:rsidR="00953D27" w:rsidRPr="00953D27" w:rsidRDefault="00953D27" w:rsidP="00C87BE7">
      <w:pPr>
        <w:numPr>
          <w:ilvl w:val="0"/>
          <w:numId w:val="11"/>
        </w:numPr>
        <w:spacing w:after="0" w:line="240" w:lineRule="auto"/>
        <w:jc w:val="both"/>
      </w:pPr>
      <w:r w:rsidRPr="00953D27">
        <w:t>Chronic Disease</w:t>
      </w:r>
    </w:p>
    <w:p w14:paraId="52460AC5" w14:textId="77777777" w:rsidR="00953D27" w:rsidRPr="00953D27" w:rsidRDefault="00953D27" w:rsidP="00C87BE7">
      <w:pPr>
        <w:numPr>
          <w:ilvl w:val="0"/>
          <w:numId w:val="11"/>
        </w:numPr>
        <w:spacing w:after="0" w:line="240" w:lineRule="auto"/>
        <w:jc w:val="both"/>
      </w:pPr>
      <w:r w:rsidRPr="00953D27">
        <w:t>Mental Health</w:t>
      </w:r>
    </w:p>
    <w:p w14:paraId="64180633" w14:textId="77777777" w:rsidR="00953D27" w:rsidRPr="00953D27" w:rsidRDefault="00953D27" w:rsidP="00C87BE7">
      <w:pPr>
        <w:numPr>
          <w:ilvl w:val="0"/>
          <w:numId w:val="11"/>
        </w:numPr>
        <w:spacing w:after="0" w:line="240" w:lineRule="auto"/>
        <w:jc w:val="both"/>
      </w:pPr>
      <w:r w:rsidRPr="00953D27">
        <w:t>Oral Health</w:t>
      </w:r>
    </w:p>
    <w:p w14:paraId="08B2BC2E" w14:textId="77777777" w:rsidR="00953D27" w:rsidRPr="00953D27" w:rsidRDefault="00953D27" w:rsidP="00C87BE7">
      <w:pPr>
        <w:numPr>
          <w:ilvl w:val="0"/>
          <w:numId w:val="11"/>
        </w:numPr>
        <w:spacing w:after="0" w:line="240" w:lineRule="auto"/>
        <w:jc w:val="both"/>
      </w:pPr>
      <w:r w:rsidRPr="00953D27">
        <w:t>Substance Use</w:t>
      </w:r>
    </w:p>
    <w:p w14:paraId="0B700BA5" w14:textId="6403B17F" w:rsidR="003E3196" w:rsidRDefault="00953D27" w:rsidP="00C87BE7">
      <w:pPr>
        <w:numPr>
          <w:ilvl w:val="0"/>
          <w:numId w:val="11"/>
        </w:numPr>
        <w:spacing w:after="0" w:line="240" w:lineRule="auto"/>
        <w:jc w:val="both"/>
      </w:pPr>
      <w:r w:rsidRPr="00953D27">
        <w:t>Social Determinants: Housing, Transportation, Food, Economic Security</w:t>
      </w:r>
    </w:p>
    <w:p w14:paraId="7CBD3BC9" w14:textId="77777777" w:rsidR="00260C31" w:rsidRDefault="00260C31" w:rsidP="00C87BE7">
      <w:pPr>
        <w:spacing w:after="0" w:line="240" w:lineRule="auto"/>
        <w:ind w:left="720"/>
        <w:jc w:val="both"/>
      </w:pPr>
    </w:p>
    <w:p w14:paraId="24B3F368" w14:textId="1C4F601C" w:rsidR="00914E25" w:rsidRPr="00770A08" w:rsidRDefault="003D2514" w:rsidP="00C87BE7">
      <w:pPr>
        <w:jc w:val="both"/>
      </w:pPr>
      <w:r>
        <w:t xml:space="preserve">The goals of the </w:t>
      </w:r>
      <w:r w:rsidR="00B51261">
        <w:t>SHIP</w:t>
      </w:r>
      <w:r>
        <w:t xml:space="preserve"> are reflected in the All-Payer </w:t>
      </w:r>
      <w:r w:rsidR="00FC0818">
        <w:t xml:space="preserve">ACO </w:t>
      </w:r>
      <w:r>
        <w:t xml:space="preserve">Model Agreement’s high level population health goals. </w:t>
      </w:r>
      <w:r w:rsidR="0069616E">
        <w:t xml:space="preserve">For the purposes of the benchmarking exercise, the group focused on </w:t>
      </w:r>
      <w:r w:rsidR="00706AAF">
        <w:t>how each</w:t>
      </w:r>
      <w:r w:rsidR="00D230C8">
        <w:t xml:space="preserve"> benefit would most fully </w:t>
      </w:r>
      <w:r w:rsidR="00A57C2F">
        <w:t>meet the goals of providing services that are available, accessible, and affordable</w:t>
      </w:r>
      <w:r w:rsidR="00FE0BF2">
        <w:t xml:space="preserve"> while also working towards accomplishing </w:t>
      </w:r>
      <w:r w:rsidR="00E37B42">
        <w:t xml:space="preserve">improved health and social outcomes. </w:t>
      </w:r>
    </w:p>
    <w:p w14:paraId="7ADFB4BE" w14:textId="7CC58434" w:rsidR="00942291" w:rsidRDefault="0099471E" w:rsidP="00C93224">
      <w:pPr>
        <w:pStyle w:val="Heading1"/>
        <w:numPr>
          <w:ilvl w:val="0"/>
          <w:numId w:val="15"/>
        </w:numPr>
        <w:jc w:val="both"/>
      </w:pPr>
      <w:bookmarkStart w:id="8" w:name="_Toc93557857"/>
      <w:r>
        <w:t>Benefit Analysis</w:t>
      </w:r>
      <w:bookmarkEnd w:id="8"/>
      <w:r>
        <w:t xml:space="preserve"> </w:t>
      </w:r>
    </w:p>
    <w:p w14:paraId="5D1B38DE" w14:textId="77777777" w:rsidR="004E74F4" w:rsidRPr="004E74F4" w:rsidRDefault="004E74F4" w:rsidP="00C87BE7">
      <w:pPr>
        <w:spacing w:after="0"/>
        <w:jc w:val="both"/>
      </w:pPr>
    </w:p>
    <w:p w14:paraId="6C1E50C9" w14:textId="7780FBCD" w:rsidR="00BE3620" w:rsidRDefault="00B708C8" w:rsidP="00C87BE7">
      <w:pPr>
        <w:pStyle w:val="Heading2"/>
        <w:jc w:val="both"/>
      </w:pPr>
      <w:bookmarkStart w:id="9" w:name="_Toc93557858"/>
      <w:r>
        <w:t>Summary</w:t>
      </w:r>
      <w:bookmarkEnd w:id="9"/>
      <w:r>
        <w:t xml:space="preserve"> </w:t>
      </w:r>
    </w:p>
    <w:p w14:paraId="32FAC7AB" w14:textId="77777777" w:rsidR="00BC2E38" w:rsidRPr="00BC2E38" w:rsidRDefault="00BC2E38" w:rsidP="00C87BE7">
      <w:pPr>
        <w:spacing w:after="0"/>
        <w:jc w:val="both"/>
      </w:pPr>
    </w:p>
    <w:p w14:paraId="5BD62033" w14:textId="4D3A7499" w:rsidR="007A3CBF" w:rsidRDefault="007A3CBF" w:rsidP="00C87BE7">
      <w:pPr>
        <w:jc w:val="both"/>
      </w:pPr>
      <w:r>
        <w:t xml:space="preserve">In accordance with Act 74 of </w:t>
      </w:r>
      <w:r w:rsidR="00D52BF6">
        <w:t xml:space="preserve">2021, the Department analyzed several benefits, </w:t>
      </w:r>
      <w:r w:rsidR="002B70C3">
        <w:t xml:space="preserve">including </w:t>
      </w:r>
      <w:r w:rsidR="00093EAC">
        <w:t>those</w:t>
      </w:r>
      <w:r w:rsidR="00D52BF6">
        <w:t xml:space="preserve"> specified in the act</w:t>
      </w:r>
      <w:r w:rsidR="00715E0F">
        <w:t xml:space="preserve">, </w:t>
      </w:r>
      <w:r w:rsidR="007E31DA">
        <w:t xml:space="preserve">as well as </w:t>
      </w:r>
      <w:r w:rsidR="002B70C3">
        <w:t>benefits</w:t>
      </w:r>
      <w:r w:rsidR="00D52BF6">
        <w:t xml:space="preserve"> </w:t>
      </w:r>
      <w:r w:rsidR="00715E0F">
        <w:t>to</w:t>
      </w:r>
      <w:r w:rsidR="00D52BF6">
        <w:t xml:space="preserve"> better align the current benchmark plan with </w:t>
      </w:r>
      <w:r w:rsidR="00B87221">
        <w:t xml:space="preserve">state health </w:t>
      </w:r>
      <w:r w:rsidR="00094ACB">
        <w:t>care reform</w:t>
      </w:r>
      <w:r w:rsidR="00B87221">
        <w:t xml:space="preserve"> </w:t>
      </w:r>
      <w:r w:rsidR="00094ACB">
        <w:t>goals</w:t>
      </w:r>
      <w:r w:rsidR="00D52BF6">
        <w:t>.</w:t>
      </w:r>
      <w:r w:rsidR="00EE09C7">
        <w:t xml:space="preserve"> The group </w:t>
      </w:r>
      <w:r w:rsidR="00CF173A">
        <w:t>looked at</w:t>
      </w:r>
      <w:r w:rsidR="00EE09C7">
        <w:t xml:space="preserve"> each benefit from several perspectives including the </w:t>
      </w:r>
      <w:r w:rsidR="006224A6">
        <w:t xml:space="preserve">actuarial value, alignment with state health policy goals, and </w:t>
      </w:r>
      <w:r w:rsidR="00676629">
        <w:t>the potential impact and value for policyholders enrolled in the current benchmark plan.</w:t>
      </w:r>
      <w:r w:rsidR="00D52BF6">
        <w:t xml:space="preserve"> </w:t>
      </w:r>
      <w:r w:rsidR="00004666">
        <w:t xml:space="preserve">Throughout several meetings, the working group heard from </w:t>
      </w:r>
      <w:r w:rsidR="00351BCE">
        <w:t xml:space="preserve">stakeholders and experts </w:t>
      </w:r>
      <w:r w:rsidR="007919DA">
        <w:t xml:space="preserve">on several </w:t>
      </w:r>
      <w:r w:rsidR="00351BCE">
        <w:t>benefit</w:t>
      </w:r>
      <w:r w:rsidR="007919DA">
        <w:t>s</w:t>
      </w:r>
      <w:r w:rsidR="00351BCE">
        <w:t xml:space="preserve">. </w:t>
      </w:r>
      <w:r w:rsidR="00EC3720">
        <w:t xml:space="preserve">Based on </w:t>
      </w:r>
      <w:r w:rsidR="001840A7">
        <w:t xml:space="preserve">the provided </w:t>
      </w:r>
      <w:r w:rsidR="00ED0409">
        <w:t>information and</w:t>
      </w:r>
      <w:r w:rsidR="00EC3720">
        <w:t xml:space="preserve"> </w:t>
      </w:r>
      <w:r w:rsidR="00466DED">
        <w:t xml:space="preserve">actuarial data, </w:t>
      </w:r>
      <w:r w:rsidR="00EC3720">
        <w:t xml:space="preserve">the group </w:t>
      </w:r>
      <w:r w:rsidR="001840A7">
        <w:t>discussed</w:t>
      </w:r>
      <w:r w:rsidR="00EC3720">
        <w:t xml:space="preserve"> </w:t>
      </w:r>
      <w:r w:rsidR="00260486">
        <w:t xml:space="preserve">whether </w:t>
      </w:r>
      <w:r w:rsidR="00EC3720">
        <w:t>and how the benefit</w:t>
      </w:r>
      <w:r w:rsidR="001840A7">
        <w:t>s</w:t>
      </w:r>
      <w:r w:rsidR="00EC3720">
        <w:t xml:space="preserve"> </w:t>
      </w:r>
      <w:r w:rsidR="00AF0287">
        <w:t xml:space="preserve">should be </w:t>
      </w:r>
      <w:r w:rsidR="001840A7">
        <w:t>included</w:t>
      </w:r>
      <w:r w:rsidR="00AF0287">
        <w:t xml:space="preserve"> in the benchmark plan. </w:t>
      </w:r>
      <w:r w:rsidR="00083A7E">
        <w:t xml:space="preserve"> </w:t>
      </w:r>
    </w:p>
    <w:p w14:paraId="114A8787" w14:textId="06CC08A3" w:rsidR="007157DA" w:rsidRDefault="00541FF6" w:rsidP="00C87BE7">
      <w:pPr>
        <w:jc w:val="both"/>
      </w:pPr>
      <w:r>
        <w:t>The group considered several other benefits including</w:t>
      </w:r>
      <w:r w:rsidR="00FC229B">
        <w:t xml:space="preserve"> tobacco treatment,</w:t>
      </w:r>
      <w:r>
        <w:t xml:space="preserve"> </w:t>
      </w:r>
      <w:r w:rsidR="00B80670">
        <w:t>lactation consult</w:t>
      </w:r>
      <w:r w:rsidR="00260486">
        <w:t>ation</w:t>
      </w:r>
      <w:r w:rsidR="00B80670">
        <w:t>s</w:t>
      </w:r>
      <w:r w:rsidR="00FC229B">
        <w:t>,</w:t>
      </w:r>
      <w:r w:rsidR="006A0F3F">
        <w:t xml:space="preserve"> and</w:t>
      </w:r>
      <w:r w:rsidR="00B80670">
        <w:t xml:space="preserve"> mental health and substance </w:t>
      </w:r>
      <w:r w:rsidR="00460EBB">
        <w:t>use</w:t>
      </w:r>
      <w:r w:rsidR="00FC0818">
        <w:t xml:space="preserve"> disorder treatment</w:t>
      </w:r>
      <w:r w:rsidR="002310AF">
        <w:t xml:space="preserve">. </w:t>
      </w:r>
      <w:r w:rsidR="0048740B">
        <w:t xml:space="preserve">These benefits were considered due to their alignment with </w:t>
      </w:r>
      <w:r w:rsidR="00DE17AA">
        <w:t>state health</w:t>
      </w:r>
      <w:r w:rsidR="00A473C9">
        <w:t xml:space="preserve"> care reform goals </w:t>
      </w:r>
      <w:r w:rsidR="00E21558">
        <w:t xml:space="preserve">as </w:t>
      </w:r>
      <w:r w:rsidR="006F4768">
        <w:t xml:space="preserve">outlined </w:t>
      </w:r>
      <w:r w:rsidR="000302E1">
        <w:t xml:space="preserve">and </w:t>
      </w:r>
      <w:r w:rsidR="00E43E0F">
        <w:t>a study of other states</w:t>
      </w:r>
      <w:r w:rsidR="000C7F3D">
        <w:t>’</w:t>
      </w:r>
      <w:r w:rsidR="00E43E0F">
        <w:t xml:space="preserve"> benchmarking activity. </w:t>
      </w:r>
      <w:r w:rsidR="00D47FB9">
        <w:t>A</w:t>
      </w:r>
      <w:r w:rsidR="00DE5894">
        <w:t xml:space="preserve">fter an </w:t>
      </w:r>
      <w:r w:rsidR="00D47FB9">
        <w:t>analysis o</w:t>
      </w:r>
      <w:r w:rsidR="00D81883">
        <w:t>f</w:t>
      </w:r>
      <w:r w:rsidR="00D47FB9">
        <w:t xml:space="preserve"> the current benchmark plan, it was determined that </w:t>
      </w:r>
      <w:r w:rsidR="003666D5">
        <w:t>the</w:t>
      </w:r>
      <w:r w:rsidR="00D81883">
        <w:t>se</w:t>
      </w:r>
      <w:r w:rsidR="002310AF">
        <w:t xml:space="preserve"> </w:t>
      </w:r>
      <w:r w:rsidR="006A0F3F">
        <w:t xml:space="preserve">additional benefit considerations were </w:t>
      </w:r>
      <w:r w:rsidR="00D81883">
        <w:t xml:space="preserve">already </w:t>
      </w:r>
      <w:r w:rsidR="006A0F3F">
        <w:t xml:space="preserve">substantially covered in the </w:t>
      </w:r>
      <w:r w:rsidR="00FC0818">
        <w:t xml:space="preserve">State’s </w:t>
      </w:r>
      <w:r w:rsidR="006A0F3F">
        <w:t xml:space="preserve">existing plan. </w:t>
      </w:r>
    </w:p>
    <w:p w14:paraId="4C272C94" w14:textId="707207C9" w:rsidR="001115E0" w:rsidRDefault="00C43612" w:rsidP="00C87BE7">
      <w:pPr>
        <w:jc w:val="both"/>
      </w:pPr>
      <w:r>
        <w:t>S</w:t>
      </w:r>
      <w:r w:rsidR="00820DF8">
        <w:t>everal states ha</w:t>
      </w:r>
      <w:r>
        <w:t>ve used the benchmarking process to</w:t>
      </w:r>
      <w:r w:rsidR="00820DF8">
        <w:t xml:space="preserve"> improve mental health and substance use disorder</w:t>
      </w:r>
      <w:r w:rsidR="00FC0818">
        <w:t xml:space="preserve"> treatment</w:t>
      </w:r>
      <w:r w:rsidR="00820DF8">
        <w:t xml:space="preserve">. </w:t>
      </w:r>
      <w:r w:rsidR="00BC02F6">
        <w:t xml:space="preserve">Due to Vermont’s comprehensive </w:t>
      </w:r>
      <w:r w:rsidR="00CE6669">
        <w:t xml:space="preserve">mental health parity law and </w:t>
      </w:r>
      <w:r w:rsidR="001B7A18">
        <w:t xml:space="preserve">past legislative actions, Vermont’s </w:t>
      </w:r>
      <w:r w:rsidR="00260486">
        <w:t xml:space="preserve">benchmark </w:t>
      </w:r>
      <w:r w:rsidR="001B7A18">
        <w:t xml:space="preserve">plan </w:t>
      </w:r>
      <w:r w:rsidR="007C34DE">
        <w:t xml:space="preserve">already </w:t>
      </w:r>
      <w:r w:rsidR="001B7A18">
        <w:t xml:space="preserve">covers all </w:t>
      </w:r>
      <w:r w:rsidR="00101DD1">
        <w:t xml:space="preserve">the </w:t>
      </w:r>
      <w:r w:rsidR="00DA3EA5">
        <w:t>benefit additions</w:t>
      </w:r>
      <w:r w:rsidR="00101DD1">
        <w:t xml:space="preserve"> made in this area</w:t>
      </w:r>
      <w:r w:rsidR="00DA3EA5">
        <w:t xml:space="preserve"> by </w:t>
      </w:r>
      <w:r w:rsidR="001115E0">
        <w:t>other states</w:t>
      </w:r>
      <w:r w:rsidR="00101DD1">
        <w:t>, including coverage of naloxone, removal of barriers to medication</w:t>
      </w:r>
      <w:r w:rsidR="00815D01">
        <w:t>-</w:t>
      </w:r>
      <w:r w:rsidR="00101DD1">
        <w:t>assisted treatment for opioids</w:t>
      </w:r>
      <w:r w:rsidR="00F473C3">
        <w:t>,</w:t>
      </w:r>
      <w:r w:rsidR="00101DD1">
        <w:t xml:space="preserve"> and alternative treatment options.</w:t>
      </w:r>
    </w:p>
    <w:p w14:paraId="0D734F22" w14:textId="07094383" w:rsidR="00EF7D36" w:rsidRDefault="004036E1" w:rsidP="00C87BE7">
      <w:pPr>
        <w:jc w:val="both"/>
      </w:pPr>
      <w:r>
        <w:lastRenderedPageBreak/>
        <w:t xml:space="preserve">The </w:t>
      </w:r>
      <w:r w:rsidR="0012575F">
        <w:t>analysis also</w:t>
      </w:r>
      <w:r>
        <w:t xml:space="preserve"> compared the current benchmark plan to other Northeast states</w:t>
      </w:r>
      <w:r w:rsidR="00C43612">
        <w:t xml:space="preserve"> and found</w:t>
      </w:r>
      <w:r>
        <w:t xml:space="preserve"> </w:t>
      </w:r>
      <w:r w:rsidR="00F473C3">
        <w:t xml:space="preserve">that </w:t>
      </w:r>
      <w:r>
        <w:t>Vermont</w:t>
      </w:r>
      <w:r w:rsidR="00EA114D">
        <w:t>’</w:t>
      </w:r>
      <w:r>
        <w:t xml:space="preserve">s benefits </w:t>
      </w:r>
      <w:r w:rsidR="0012575F">
        <w:t>align</w:t>
      </w:r>
      <w:r w:rsidR="00052743">
        <w:t xml:space="preserve"> with other </w:t>
      </w:r>
      <w:r w:rsidR="00C43612">
        <w:t>states in the region</w:t>
      </w:r>
      <w:r w:rsidR="00052743">
        <w:t xml:space="preserve">. </w:t>
      </w:r>
      <w:r w:rsidR="008E0086">
        <w:t xml:space="preserve">Where Vermont’s plan </w:t>
      </w:r>
      <w:r w:rsidR="008A13BB">
        <w:t>did not align</w:t>
      </w:r>
      <w:r w:rsidR="00C43612">
        <w:t>,</w:t>
      </w:r>
      <w:r w:rsidR="008E0086">
        <w:t xml:space="preserve"> </w:t>
      </w:r>
      <w:r w:rsidR="00F473C3">
        <w:t xml:space="preserve">the working group considered </w:t>
      </w:r>
      <w:r w:rsidR="00152538">
        <w:t>the</w:t>
      </w:r>
      <w:r w:rsidR="00DC3098">
        <w:t xml:space="preserve"> impact of </w:t>
      </w:r>
      <w:r w:rsidR="00CC3E5C">
        <w:t>doing so</w:t>
      </w:r>
      <w:r w:rsidR="00DC3098">
        <w:t xml:space="preserve">. </w:t>
      </w:r>
    </w:p>
    <w:p w14:paraId="7C1EF982" w14:textId="759D7C09" w:rsidR="004E74F4" w:rsidRDefault="00715266" w:rsidP="00C87BE7">
      <w:pPr>
        <w:jc w:val="both"/>
      </w:pPr>
      <w:r>
        <w:t>A gym membership benefit was also considered</w:t>
      </w:r>
      <w:r w:rsidR="00FC0818">
        <w:t xml:space="preserve"> and not recommended at this time</w:t>
      </w:r>
      <w:r>
        <w:t xml:space="preserve"> due to concerns around </w:t>
      </w:r>
      <w:r w:rsidR="002707A6">
        <w:t xml:space="preserve">geographic </w:t>
      </w:r>
      <w:r>
        <w:t>equity</w:t>
      </w:r>
      <w:r w:rsidR="00C43612">
        <w:t xml:space="preserve">, cost, </w:t>
      </w:r>
      <w:r w:rsidR="00EE7CB1">
        <w:t>as</w:t>
      </w:r>
      <w:r>
        <w:t xml:space="preserve"> well as the benefit currently being offered under some non-standard plans</w:t>
      </w:r>
      <w:r w:rsidR="002707A6">
        <w:t>.</w:t>
      </w:r>
      <w:r>
        <w:t xml:space="preserve"> </w:t>
      </w:r>
      <w:r w:rsidR="002707A6">
        <w:t xml:space="preserve"> </w:t>
      </w:r>
    </w:p>
    <w:p w14:paraId="0D31EFFC" w14:textId="66351AF4" w:rsidR="0032700D" w:rsidRDefault="00B708C8" w:rsidP="00C87BE7">
      <w:pPr>
        <w:pStyle w:val="Heading2"/>
        <w:jc w:val="both"/>
      </w:pPr>
      <w:bookmarkStart w:id="10" w:name="_Toc93557859"/>
      <w:r>
        <w:t>Hearing Aids</w:t>
      </w:r>
      <w:bookmarkEnd w:id="10"/>
    </w:p>
    <w:p w14:paraId="0B33DB0C" w14:textId="77777777" w:rsidR="004E74F4" w:rsidRPr="004E74F4" w:rsidRDefault="004E74F4" w:rsidP="00C87BE7">
      <w:pPr>
        <w:spacing w:after="0"/>
        <w:jc w:val="both"/>
      </w:pPr>
    </w:p>
    <w:p w14:paraId="6073C1A1" w14:textId="74238547" w:rsidR="00D3429A" w:rsidRDefault="0032700D" w:rsidP="00C87BE7">
      <w:pPr>
        <w:jc w:val="both"/>
      </w:pPr>
      <w:r>
        <w:t xml:space="preserve">Hearing aids are currently not covered as </w:t>
      </w:r>
      <w:r w:rsidR="00EB7EAC">
        <w:t>an EHB</w:t>
      </w:r>
      <w:r w:rsidR="00AA384F">
        <w:t xml:space="preserve"> in Vermont. </w:t>
      </w:r>
      <w:r w:rsidR="004C4AC5">
        <w:t xml:space="preserve">Vermont </w:t>
      </w:r>
      <w:r w:rsidR="005F4EC4">
        <w:t xml:space="preserve">and </w:t>
      </w:r>
      <w:r w:rsidR="00AC4219">
        <w:t>Pennsylvania</w:t>
      </w:r>
      <w:r w:rsidR="005F4EC4">
        <w:t xml:space="preserve"> are the only two states in the Northeast Region that do not offer hearing aid coverage as an EHB.</w:t>
      </w:r>
      <w:r w:rsidR="00AC4219">
        <w:t xml:space="preserve"> </w:t>
      </w:r>
      <w:r w:rsidR="005C76BB">
        <w:t xml:space="preserve">The </w:t>
      </w:r>
      <w:r w:rsidR="0068052E">
        <w:t>working grou</w:t>
      </w:r>
      <w:r w:rsidR="005773EA">
        <w:t xml:space="preserve">p </w:t>
      </w:r>
      <w:r w:rsidR="005C76BB">
        <w:t>heard</w:t>
      </w:r>
      <w:r w:rsidR="0068052E">
        <w:t xml:space="preserve"> from </w:t>
      </w:r>
      <w:r w:rsidR="00004C9D">
        <w:t>stakeholders on</w:t>
      </w:r>
      <w:r w:rsidR="005773EA">
        <w:t xml:space="preserve"> </w:t>
      </w:r>
      <w:r w:rsidR="008A235A">
        <w:t>potential impacts</w:t>
      </w:r>
      <w:r w:rsidR="00004C9D">
        <w:t xml:space="preserve"> associated with a hearing aid benefit</w:t>
      </w:r>
      <w:r w:rsidR="005C76BB">
        <w:t xml:space="preserve">, as well as suggestions </w:t>
      </w:r>
      <w:r w:rsidR="009A5366">
        <w:t xml:space="preserve">to align </w:t>
      </w:r>
      <w:r w:rsidR="009F6DF1">
        <w:t>any recommendation</w:t>
      </w:r>
      <w:r w:rsidR="009A5366">
        <w:t xml:space="preserve"> with </w:t>
      </w:r>
      <w:r w:rsidR="00513623">
        <w:t xml:space="preserve">the </w:t>
      </w:r>
      <w:r w:rsidR="009A5366">
        <w:t xml:space="preserve">current benefit design under Vermont Medicaid. </w:t>
      </w:r>
      <w:r w:rsidR="00004C9D">
        <w:t xml:space="preserve"> </w:t>
      </w:r>
    </w:p>
    <w:p w14:paraId="2D974735" w14:textId="4D74840A" w:rsidR="0069229C" w:rsidRDefault="004D379C" w:rsidP="00C87BE7">
      <w:pPr>
        <w:jc w:val="both"/>
      </w:pPr>
      <w:r>
        <w:t xml:space="preserve">Most people who need hearing aids meet the definition of disabled under </w:t>
      </w:r>
      <w:r w:rsidR="00E1451C">
        <w:t>Section 504 of the Americans with Disabilities Act</w:t>
      </w:r>
      <w:r w:rsidR="00253E62">
        <w:t>. Hearing loss can happen when any part of the ear or hearing system is not</w:t>
      </w:r>
      <w:r w:rsidR="00DF7926">
        <w:t xml:space="preserve"> functioning</w:t>
      </w:r>
      <w:r w:rsidR="00253E62">
        <w:t xml:space="preserve">. </w:t>
      </w:r>
      <w:r w:rsidR="006B63AC">
        <w:t xml:space="preserve">Hearing loss can range from mild hearing loss where a person may hear some speech sounds to </w:t>
      </w:r>
      <w:r w:rsidR="00A85BF1">
        <w:t>not having the ability to hear any speech.</w:t>
      </w:r>
      <w:r w:rsidR="005120F2">
        <w:t xml:space="preserve"> </w:t>
      </w:r>
      <w:r w:rsidR="00AD6619">
        <w:t xml:space="preserve">According to a 2015 </w:t>
      </w:r>
      <w:r w:rsidR="00073E39">
        <w:t>presentation</w:t>
      </w:r>
      <w:r w:rsidR="00AD6619">
        <w:t xml:space="preserve"> from the </w:t>
      </w:r>
      <w:r w:rsidR="00073E39" w:rsidRPr="00073E39">
        <w:t>President’s Council of Advisors on Science and Technology</w:t>
      </w:r>
      <w:r w:rsidR="00D74E19">
        <w:t xml:space="preserve">, </w:t>
      </w:r>
      <w:r w:rsidR="00AE748B">
        <w:t>a single hearing aid typically costs approximately $2,400, which most consumers pay completely out-of-pocket</w:t>
      </w:r>
      <w:r w:rsidR="00556E60">
        <w:t>.</w:t>
      </w:r>
      <w:r w:rsidR="00556E60">
        <w:rPr>
          <w:rStyle w:val="FootnoteReference"/>
        </w:rPr>
        <w:footnoteReference w:id="5"/>
      </w:r>
      <w:r w:rsidR="00786E15">
        <w:t xml:space="preserve"> </w:t>
      </w:r>
      <w:r w:rsidR="005120F2">
        <w:t xml:space="preserve">While hearing aids </w:t>
      </w:r>
      <w:r w:rsidR="00C67F5C">
        <w:t xml:space="preserve">may not benefit individuals with a profound hearing loss, they </w:t>
      </w:r>
      <w:r w:rsidR="009B7196">
        <w:t>are an important treatment and intervention option for many individuals with hearing loss.</w:t>
      </w:r>
      <w:r w:rsidR="004E1E99">
        <w:rPr>
          <w:rStyle w:val="FootnoteReference"/>
        </w:rPr>
        <w:footnoteReference w:id="6"/>
      </w:r>
    </w:p>
    <w:p w14:paraId="3540C321" w14:textId="3D55D4BF" w:rsidR="004901ED" w:rsidRDefault="004901ED" w:rsidP="00C87BE7">
      <w:pPr>
        <w:jc w:val="both"/>
      </w:pPr>
      <w:r>
        <w:t>Approximately 6% of Vermonters experience serious difficulty hearing</w:t>
      </w:r>
      <w:r>
        <w:rPr>
          <w:rStyle w:val="FootnoteReference"/>
        </w:rPr>
        <w:footnoteReference w:id="7"/>
      </w:r>
      <w:r>
        <w:t xml:space="preserve"> and it is estimated nationally </w:t>
      </w:r>
      <w:r w:rsidR="00BF4E7C">
        <w:t xml:space="preserve">that </w:t>
      </w:r>
      <w:r>
        <w:t>approximately 15% of American adults aged 18 and over report some trouble hearing.</w:t>
      </w:r>
      <w:r>
        <w:rPr>
          <w:rStyle w:val="FootnoteReference"/>
        </w:rPr>
        <w:footnoteReference w:id="8"/>
      </w:r>
      <w:r>
        <w:t xml:space="preserve"> In Vermont, insurance coverage for hearing aids is available for individuals enrolled in Medicaid. Fully insured large and small group as well as individual health insurance coverage does not provide hearing aids or a hearing examination, creating a cost barrier to access this important benefit. </w:t>
      </w:r>
    </w:p>
    <w:p w14:paraId="56651EA9" w14:textId="6A45934D" w:rsidR="00B859CE" w:rsidRPr="00B859CE" w:rsidRDefault="00B859CE" w:rsidP="00C87BE7">
      <w:pPr>
        <w:pStyle w:val="Heading3"/>
        <w:jc w:val="both"/>
      </w:pPr>
      <w:bookmarkStart w:id="12" w:name="_Toc93557860"/>
      <w:r>
        <w:t xml:space="preserve">Alignment with Vermont Health Care </w:t>
      </w:r>
      <w:r w:rsidR="00D0142B">
        <w:t>Reform Goals</w:t>
      </w:r>
      <w:bookmarkEnd w:id="12"/>
    </w:p>
    <w:p w14:paraId="60610892" w14:textId="77777777" w:rsidR="004E74F4" w:rsidRDefault="004E74F4" w:rsidP="00C87BE7">
      <w:pPr>
        <w:spacing w:after="0"/>
        <w:jc w:val="both"/>
      </w:pPr>
    </w:p>
    <w:p w14:paraId="6F8EFA89" w14:textId="59B67475" w:rsidR="009153B3" w:rsidRDefault="00FA1552" w:rsidP="00C87BE7">
      <w:pPr>
        <w:jc w:val="both"/>
      </w:pPr>
      <w:r>
        <w:t xml:space="preserve">Adding a hearing aid benefit would strongly support many of the </w:t>
      </w:r>
      <w:r w:rsidR="00FB32F1">
        <w:t>State’s</w:t>
      </w:r>
      <w:r>
        <w:t xml:space="preserve"> health </w:t>
      </w:r>
      <w:r w:rsidR="008F1FF5">
        <w:t>care reform</w:t>
      </w:r>
      <w:r>
        <w:t xml:space="preserve"> goals. </w:t>
      </w:r>
      <w:r w:rsidR="005F240F">
        <w:t xml:space="preserve">Hearing loss and lack of access to hearing aids </w:t>
      </w:r>
      <w:r w:rsidR="00C55127">
        <w:t xml:space="preserve">have several social and economic impacts, which extend beyond the </w:t>
      </w:r>
      <w:r w:rsidR="00B054EF">
        <w:t xml:space="preserve">direct benefit itself. Due to the </w:t>
      </w:r>
      <w:r w:rsidR="0078294D">
        <w:t xml:space="preserve">high cost of hearing aids, many individuals with hearing loss cannot </w:t>
      </w:r>
      <w:r w:rsidR="0078294D">
        <w:lastRenderedPageBreak/>
        <w:t xml:space="preserve">afford conventional hearing aids. </w:t>
      </w:r>
      <w:r w:rsidR="005D1793">
        <w:t>I</w:t>
      </w:r>
      <w:r w:rsidR="003F1297">
        <w:t>ndividuals with</w:t>
      </w:r>
      <w:r w:rsidR="00386DF9">
        <w:t xml:space="preserve"> hearing loss </w:t>
      </w:r>
      <w:r w:rsidR="00B52F56">
        <w:t xml:space="preserve">are more likely to be unemployed </w:t>
      </w:r>
      <w:r w:rsidR="00CF5AA0">
        <w:t xml:space="preserve">or </w:t>
      </w:r>
      <w:r w:rsidR="0061229D">
        <w:t>partly unemployed</w:t>
      </w:r>
      <w:r w:rsidR="007A0663">
        <w:t xml:space="preserve">, less likely to have </w:t>
      </w:r>
      <w:r w:rsidR="00CF5AA0">
        <w:t xml:space="preserve">any </w:t>
      </w:r>
      <w:r w:rsidR="007A0663">
        <w:t xml:space="preserve">wage income, </w:t>
      </w:r>
      <w:r w:rsidR="00B73909">
        <w:t xml:space="preserve">and </w:t>
      </w:r>
      <w:r w:rsidR="00E35D08">
        <w:t xml:space="preserve">likely to </w:t>
      </w:r>
      <w:r w:rsidR="00B73909">
        <w:t>earn a lower wage</w:t>
      </w:r>
      <w:r w:rsidR="00B52F56">
        <w:t xml:space="preserve"> than those without hearing loss</w:t>
      </w:r>
      <w:r w:rsidR="00E35D08">
        <w:t>,</w:t>
      </w:r>
      <w:r w:rsidR="009E5D6A">
        <w:rPr>
          <w:rStyle w:val="FootnoteReference"/>
        </w:rPr>
        <w:footnoteReference w:id="9"/>
      </w:r>
      <w:r w:rsidR="003F408F">
        <w:t xml:space="preserve"> resulting in greater economic inequality.</w:t>
      </w:r>
      <w:r w:rsidR="009E5D6A">
        <w:t xml:space="preserve"> </w:t>
      </w:r>
      <w:r w:rsidR="003F1297">
        <w:t xml:space="preserve"> </w:t>
      </w:r>
    </w:p>
    <w:p w14:paraId="08494B8B" w14:textId="00EBE5D2" w:rsidR="00AA5F43" w:rsidRDefault="00A37546" w:rsidP="00C87BE7">
      <w:pPr>
        <w:jc w:val="both"/>
      </w:pPr>
      <w:r>
        <w:t>In addition to the socio-economic impacts</w:t>
      </w:r>
      <w:r w:rsidR="002D355F">
        <w:t>,</w:t>
      </w:r>
      <w:r>
        <w:t xml:space="preserve"> </w:t>
      </w:r>
      <w:r w:rsidR="00C5482D">
        <w:t xml:space="preserve">individuals </w:t>
      </w:r>
      <w:r w:rsidR="00C84231">
        <w:t>with</w:t>
      </w:r>
      <w:r w:rsidR="00C5482D">
        <w:t xml:space="preserve"> hearing loss </w:t>
      </w:r>
      <w:r w:rsidR="00DB7EF0">
        <w:t xml:space="preserve">are at </w:t>
      </w:r>
      <w:r w:rsidR="002309BC">
        <w:t xml:space="preserve">elevated </w:t>
      </w:r>
      <w:r w:rsidR="00DB7EF0">
        <w:t>risk of several negative health outcomes</w:t>
      </w:r>
      <w:r>
        <w:t xml:space="preserve">. </w:t>
      </w:r>
      <w:r w:rsidR="00C0457D">
        <w:t>Studies suggest hearing loss is associated with an increase in psychological distress and utilization of mental health services in adults</w:t>
      </w:r>
      <w:r w:rsidR="00D81A08">
        <w:t>,</w:t>
      </w:r>
      <w:r w:rsidR="00FC0483">
        <w:rPr>
          <w:rStyle w:val="FootnoteReference"/>
        </w:rPr>
        <w:footnoteReference w:id="10"/>
      </w:r>
      <w:r w:rsidR="00C0457D">
        <w:t xml:space="preserve"> as well as substance use disorders</w:t>
      </w:r>
      <w:r w:rsidR="00E2622C">
        <w:rPr>
          <w:rStyle w:val="FootnoteReference"/>
        </w:rPr>
        <w:footnoteReference w:id="11"/>
      </w:r>
      <w:r w:rsidR="00C0457D">
        <w:t xml:space="preserve"> and age-related hearing loss is associated with cognitive decline, cognitive impairment, and dementia.</w:t>
      </w:r>
      <w:r w:rsidR="00DC3CC1">
        <w:rPr>
          <w:rStyle w:val="FootnoteReference"/>
        </w:rPr>
        <w:footnoteReference w:id="12"/>
      </w:r>
      <w:r w:rsidR="001E376B">
        <w:t xml:space="preserve"> </w:t>
      </w:r>
      <w:r w:rsidR="00313645">
        <w:t>F</w:t>
      </w:r>
      <w:r w:rsidR="001E376B">
        <w:t>or children</w:t>
      </w:r>
      <w:r w:rsidR="008B76EF">
        <w:t>,</w:t>
      </w:r>
      <w:r w:rsidR="001E376B">
        <w:t xml:space="preserve"> </w:t>
      </w:r>
      <w:r w:rsidR="00FB32F1">
        <w:t>the</w:t>
      </w:r>
      <w:r w:rsidR="001E376B">
        <w:t xml:space="preserve"> </w:t>
      </w:r>
      <w:r w:rsidR="007A3CBF">
        <w:t>inability to access hearing aids has a detrimental impact on development</w:t>
      </w:r>
      <w:r w:rsidR="002A2D1C">
        <w:t xml:space="preserve"> in many respects</w:t>
      </w:r>
      <w:r w:rsidR="007A3CBF">
        <w:t xml:space="preserve">. </w:t>
      </w:r>
      <w:r w:rsidR="00F97A75">
        <w:t xml:space="preserve">Overall, </w:t>
      </w:r>
      <w:r w:rsidR="00AD7EC6">
        <w:t xml:space="preserve">hearing loss and </w:t>
      </w:r>
      <w:r w:rsidR="00F97A75">
        <w:t xml:space="preserve">disabilities </w:t>
      </w:r>
      <w:r w:rsidR="002A2D1C">
        <w:t>disproportionately</w:t>
      </w:r>
      <w:r w:rsidR="00F97A75">
        <w:t xml:space="preserve"> impact people of color, L</w:t>
      </w:r>
      <w:r w:rsidR="00B7402C">
        <w:t>G</w:t>
      </w:r>
      <w:r w:rsidR="00F97A75">
        <w:t>BTQ adults, as well as older Vermonters.</w:t>
      </w:r>
      <w:r w:rsidR="00AD7EC6">
        <w:t xml:space="preserve"> Adding a hearing aid benefit would </w:t>
      </w:r>
      <w:r w:rsidR="00984683">
        <w:t>make hearing aids more accessible, affordable</w:t>
      </w:r>
      <w:r w:rsidR="00715C77">
        <w:t xml:space="preserve">, and </w:t>
      </w:r>
      <w:r w:rsidR="00367505">
        <w:t xml:space="preserve">support </w:t>
      </w:r>
      <w:r w:rsidR="00715C77">
        <w:t xml:space="preserve">health </w:t>
      </w:r>
      <w:r w:rsidR="00367505">
        <w:t xml:space="preserve">and economic </w:t>
      </w:r>
      <w:r w:rsidR="00715C77">
        <w:t xml:space="preserve">equity for </w:t>
      </w:r>
      <w:r w:rsidR="00B268C9">
        <w:t>individuals</w:t>
      </w:r>
      <w:r w:rsidR="00367505">
        <w:t xml:space="preserve"> with disabilities</w:t>
      </w:r>
      <w:r w:rsidR="00B268C9">
        <w:t xml:space="preserve">. </w:t>
      </w:r>
    </w:p>
    <w:p w14:paraId="247E1821" w14:textId="03729C4F" w:rsidR="00E944E3" w:rsidRDefault="00B708C8" w:rsidP="00C87BE7">
      <w:pPr>
        <w:pStyle w:val="Heading2"/>
        <w:jc w:val="both"/>
      </w:pPr>
      <w:bookmarkStart w:id="13" w:name="_Toc93557861"/>
      <w:r>
        <w:t xml:space="preserve">Infertility </w:t>
      </w:r>
      <w:r w:rsidR="007157D4">
        <w:t>Coverage</w:t>
      </w:r>
      <w:bookmarkEnd w:id="13"/>
    </w:p>
    <w:p w14:paraId="55B91326" w14:textId="77777777" w:rsidR="004E74F4" w:rsidRPr="004E74F4" w:rsidRDefault="004E74F4" w:rsidP="00C87BE7">
      <w:pPr>
        <w:spacing w:after="0"/>
        <w:jc w:val="both"/>
      </w:pPr>
    </w:p>
    <w:p w14:paraId="071F938A" w14:textId="0D10C04C" w:rsidR="007044E3" w:rsidRDefault="007044E3" w:rsidP="00C87BE7">
      <w:pPr>
        <w:jc w:val="both"/>
      </w:pPr>
      <w:r>
        <w:t xml:space="preserve">The </w:t>
      </w:r>
      <w:r w:rsidR="003E2A28">
        <w:t>current Vermont</w:t>
      </w:r>
      <w:r w:rsidR="004F625B">
        <w:t xml:space="preserve"> EHB</w:t>
      </w:r>
      <w:r w:rsidR="003E2A28">
        <w:t xml:space="preserve"> benchmark plan covers diagnosis for infertility but does not cover </w:t>
      </w:r>
      <w:r w:rsidR="002B1987">
        <w:t xml:space="preserve">treatment for infertility. </w:t>
      </w:r>
      <w:r>
        <w:t>Currently 15 states have mandates which cover infertility including Colorado which will include infertility treatment in 2022 through its own benchmark plan change.</w:t>
      </w:r>
      <w:r>
        <w:rPr>
          <w:rStyle w:val="FootnoteReference"/>
        </w:rPr>
        <w:footnoteReference w:id="13"/>
      </w:r>
      <w:r>
        <w:t xml:space="preserve"> While infertility treatment </w:t>
      </w:r>
      <w:r w:rsidR="00744946">
        <w:t>can be hugely beneficial for ind</w:t>
      </w:r>
      <w:r w:rsidR="00B06AC3">
        <w:t>ividuals who require fertility assistance</w:t>
      </w:r>
      <w:r>
        <w:t xml:space="preserve">, low utilization and a limited number of providers offering </w:t>
      </w:r>
      <w:r w:rsidR="00367505">
        <w:t>in vitro fertilization (</w:t>
      </w:r>
      <w:r>
        <w:t>IVF</w:t>
      </w:r>
      <w:r w:rsidR="00367505">
        <w:t>)</w:t>
      </w:r>
      <w:r>
        <w:t xml:space="preserve"> can make the benefit expensive to provide</w:t>
      </w:r>
      <w:r w:rsidR="00DF3C17">
        <w:t xml:space="preserve">. </w:t>
      </w:r>
      <w:r w:rsidR="00034B30">
        <w:t xml:space="preserve">Because </w:t>
      </w:r>
      <w:r w:rsidR="00A81ABE">
        <w:t xml:space="preserve">infertility treatment does not directly </w:t>
      </w:r>
      <w:r w:rsidR="00547959">
        <w:t xml:space="preserve">help restore or maintain the patient’s health or prevent the reasonably likely onset of a health problem, </w:t>
      </w:r>
      <w:r w:rsidR="00EE7839">
        <w:t>most health insurers do not consider it medically necessary</w:t>
      </w:r>
      <w:r w:rsidR="00306151">
        <w:t xml:space="preserve"> even if it is not specifically excluded from coverage.</w:t>
      </w:r>
    </w:p>
    <w:p w14:paraId="136AEE18" w14:textId="51F17FE8" w:rsidR="00372538" w:rsidRDefault="00372538" w:rsidP="00C87BE7">
      <w:pPr>
        <w:jc w:val="both"/>
      </w:pPr>
      <w:r>
        <w:t xml:space="preserve">Infertility is often defined as the inability </w:t>
      </w:r>
      <w:r w:rsidR="00A86F34">
        <w:t xml:space="preserve">to </w:t>
      </w:r>
      <w:r>
        <w:t>conceive during a specified period of time.</w:t>
      </w:r>
      <w:r>
        <w:rPr>
          <w:rStyle w:val="FootnoteReference"/>
        </w:rPr>
        <w:footnoteReference w:id="14"/>
      </w:r>
      <w:r>
        <w:t xml:space="preserve"> Infertility can impact both men and women. Impaired fecundity is the condition wherein it is difficult for a woman to get pregnant or to carry a pregnancy to term</w:t>
      </w:r>
      <w:r w:rsidR="0040191E">
        <w:t xml:space="preserve"> whereas i</w:t>
      </w:r>
      <w:r>
        <w:t xml:space="preserve">atrogenic infertility is a result of a medical procedure to treat another condition, such as cancer. </w:t>
      </w:r>
    </w:p>
    <w:p w14:paraId="00B687FD" w14:textId="433E77AA" w:rsidR="00E9439C" w:rsidRDefault="00C57E8B" w:rsidP="00C87BE7">
      <w:pPr>
        <w:jc w:val="both"/>
      </w:pPr>
      <w:r>
        <w:t xml:space="preserve">Infertility affects 10-15% of heterosexual couples with 6% of married women in the U.S. reporting experiencing infertility. Treatment for infertility can include medication to induce ovulation, surgery to repair anatomical or physiological issues, intrauterine insemination, assisted reproductive technologies </w:t>
      </w:r>
      <w:r>
        <w:lastRenderedPageBreak/>
        <w:t xml:space="preserve">(ART), including </w:t>
      </w:r>
      <w:r w:rsidR="00367505">
        <w:t>IVF</w:t>
      </w:r>
      <w:r>
        <w:t xml:space="preserve"> and fertility preservation services.</w:t>
      </w:r>
      <w:r w:rsidR="00051BDD">
        <w:t xml:space="preserve"> According to the Centers for Disease Control and Prevention, </w:t>
      </w:r>
      <w:r w:rsidR="004823D1" w:rsidRPr="004823D1">
        <w:t>ART accounted for 2.1% of all infants born in the United States</w:t>
      </w:r>
      <w:r w:rsidR="004823D1">
        <w:t xml:space="preserve"> in 2019</w:t>
      </w:r>
      <w:r>
        <w:t>.</w:t>
      </w:r>
      <w:r>
        <w:rPr>
          <w:rStyle w:val="FootnoteReference"/>
        </w:rPr>
        <w:footnoteReference w:id="15"/>
      </w:r>
      <w:r>
        <w:t xml:space="preserve"> </w:t>
      </w:r>
      <w:r w:rsidR="00A962C7">
        <w:t xml:space="preserve">The ART rate in Vermont is above the national average, with </w:t>
      </w:r>
      <w:r w:rsidR="00B07DDC">
        <w:t>414 ART procedures performed</w:t>
      </w:r>
      <w:r w:rsidR="00A613AA">
        <w:t xml:space="preserve"> in 2019</w:t>
      </w:r>
      <w:r w:rsidR="00B07DDC">
        <w:t xml:space="preserve"> or </w:t>
      </w:r>
      <w:r w:rsidR="00DA01AB" w:rsidRPr="00DA01AB">
        <w:t>3,619</w:t>
      </w:r>
      <w:r w:rsidR="001D4B74">
        <w:t xml:space="preserve"> </w:t>
      </w:r>
      <w:r w:rsidR="001D4B74" w:rsidRPr="001D4B74">
        <w:t>ART procedures</w:t>
      </w:r>
      <w:r w:rsidR="001D4B74">
        <w:t xml:space="preserve"> performed </w:t>
      </w:r>
      <w:r w:rsidR="001D4B74" w:rsidRPr="001D4B74">
        <w:t>per 1 millio</w:t>
      </w:r>
      <w:r w:rsidR="001D4B74">
        <w:t xml:space="preserve">n </w:t>
      </w:r>
      <w:r w:rsidR="001D4B74" w:rsidRPr="001D4B74">
        <w:t>women aged 15–44 years</w:t>
      </w:r>
      <w:r w:rsidR="008E01B0">
        <w:t>.</w:t>
      </w:r>
      <w:r w:rsidR="008E01B0">
        <w:rPr>
          <w:rStyle w:val="FootnoteReference"/>
        </w:rPr>
        <w:footnoteReference w:id="16"/>
      </w:r>
    </w:p>
    <w:p w14:paraId="0F00F563" w14:textId="4793DEEA" w:rsidR="006C4633" w:rsidRDefault="00D0142B" w:rsidP="00DE64D5">
      <w:pPr>
        <w:pStyle w:val="Heading3"/>
        <w:spacing w:line="360" w:lineRule="auto"/>
        <w:jc w:val="both"/>
      </w:pPr>
      <w:bookmarkStart w:id="14" w:name="_Toc93557862"/>
      <w:r>
        <w:t>Alignment with Health Care Reform Goals</w:t>
      </w:r>
      <w:bookmarkEnd w:id="14"/>
    </w:p>
    <w:p w14:paraId="3CD3D432" w14:textId="5DD36B55" w:rsidR="009C3CA4" w:rsidRDefault="0007710B" w:rsidP="00C87BE7">
      <w:pPr>
        <w:jc w:val="both"/>
      </w:pPr>
      <w:r>
        <w:t xml:space="preserve">While not </w:t>
      </w:r>
      <w:r w:rsidR="009710C9">
        <w:t>closely</w:t>
      </w:r>
      <w:r>
        <w:t xml:space="preserve"> aligned with </w:t>
      </w:r>
      <w:r w:rsidR="00E52472">
        <w:t>health care reform goals in the state</w:t>
      </w:r>
      <w:r w:rsidR="00AC0538">
        <w:t>, a</w:t>
      </w:r>
      <w:r w:rsidR="001B228C">
        <w:t xml:space="preserve">dding infertility </w:t>
      </w:r>
      <w:r w:rsidR="009C20DD">
        <w:t>treatment may contribute to the overall wellbeing of individuals and lower the risk of certain chronic conditions.</w:t>
      </w:r>
      <w:r w:rsidR="009C20DD">
        <w:rPr>
          <w:rStyle w:val="FootnoteReference"/>
        </w:rPr>
        <w:footnoteReference w:id="17"/>
      </w:r>
      <w:r w:rsidR="009C20DD">
        <w:t xml:space="preserve"> </w:t>
      </w:r>
      <w:r w:rsidR="00B600EB">
        <w:t>i</w:t>
      </w:r>
      <w:r w:rsidR="00587C4E">
        <w:t xml:space="preserve">nfertility </w:t>
      </w:r>
      <w:r w:rsidR="00162CEE">
        <w:t>benefits have</w:t>
      </w:r>
      <w:r w:rsidR="00D9428E">
        <w:t xml:space="preserve"> historically been designed around </w:t>
      </w:r>
      <w:r w:rsidR="00231A80">
        <w:t xml:space="preserve">heterosexual </w:t>
      </w:r>
      <w:r w:rsidR="00D9428E">
        <w:t>relationships</w:t>
      </w:r>
      <w:r w:rsidR="00682503">
        <w:t>;</w:t>
      </w:r>
      <w:r w:rsidR="00B600EB">
        <w:t xml:space="preserve"> i</w:t>
      </w:r>
      <w:r w:rsidR="00EC7A1A">
        <w:t xml:space="preserve">nclusion of benefits such as donor </w:t>
      </w:r>
      <w:r w:rsidR="00682503">
        <w:t xml:space="preserve">and surrogacy </w:t>
      </w:r>
      <w:r w:rsidR="00F15F2C">
        <w:t>services</w:t>
      </w:r>
      <w:r w:rsidR="00AC0538">
        <w:t xml:space="preserve"> </w:t>
      </w:r>
      <w:r w:rsidR="00F602BE">
        <w:t>can</w:t>
      </w:r>
      <w:r w:rsidR="004D367B">
        <w:t xml:space="preserve"> create equity between those in heterosexual relationships and </w:t>
      </w:r>
      <w:r w:rsidR="00682503">
        <w:t xml:space="preserve">those in </w:t>
      </w:r>
      <w:r w:rsidR="004D367B">
        <w:t>same</w:t>
      </w:r>
      <w:r w:rsidR="00682503">
        <w:t>-</w:t>
      </w:r>
      <w:r w:rsidR="004D367B">
        <w:t xml:space="preserve">sex </w:t>
      </w:r>
      <w:r w:rsidR="00682503">
        <w:t xml:space="preserve">or other non-heteronormative </w:t>
      </w:r>
      <w:r w:rsidR="004D367B">
        <w:t>relationships who are unable to build a family without the assistance of ART.</w:t>
      </w:r>
      <w:r w:rsidR="004D367B" w:rsidRPr="004D367B">
        <w:rPr>
          <w:rStyle w:val="FootnoteReference"/>
        </w:rPr>
        <w:t xml:space="preserve"> </w:t>
      </w:r>
      <w:r w:rsidR="004D367B">
        <w:rPr>
          <w:rStyle w:val="FootnoteReference"/>
        </w:rPr>
        <w:footnoteReference w:id="18"/>
      </w:r>
    </w:p>
    <w:p w14:paraId="11EA01F7" w14:textId="0D095200" w:rsidR="000C7FDE" w:rsidRDefault="00B708C8" w:rsidP="00C87BE7">
      <w:pPr>
        <w:pStyle w:val="Heading2"/>
        <w:jc w:val="both"/>
      </w:pPr>
      <w:bookmarkStart w:id="15" w:name="_Toc93557863"/>
      <w:r>
        <w:t>Dental and Vision Care</w:t>
      </w:r>
      <w:bookmarkEnd w:id="15"/>
    </w:p>
    <w:p w14:paraId="50CF389D" w14:textId="77777777" w:rsidR="009C3CA4" w:rsidRPr="009C3CA4" w:rsidRDefault="009C3CA4" w:rsidP="00C87BE7">
      <w:pPr>
        <w:spacing w:after="0"/>
        <w:jc w:val="both"/>
      </w:pPr>
    </w:p>
    <w:p w14:paraId="14D12481" w14:textId="3D303738" w:rsidR="00454189" w:rsidRDefault="00454189" w:rsidP="00C87BE7">
      <w:pPr>
        <w:jc w:val="both"/>
      </w:pPr>
      <w:r>
        <w:t xml:space="preserve">Currently the benchmark plan covers pediatric dental and vision services. Under 45 C.F.R. </w:t>
      </w:r>
      <w:r>
        <w:rPr>
          <w:rFonts w:cstheme="minorHAnsi"/>
        </w:rPr>
        <w:t>§</w:t>
      </w:r>
      <w:r w:rsidR="00216179">
        <w:rPr>
          <w:rFonts w:cstheme="minorHAnsi"/>
        </w:rPr>
        <w:t> </w:t>
      </w:r>
      <w:r>
        <w:t>156.115, non-pediatric dental services and non-pediatric eye exam services are prohibited from being considered as an EHB.</w:t>
      </w:r>
      <w:r>
        <w:rPr>
          <w:rStyle w:val="FootnoteReference"/>
        </w:rPr>
        <w:footnoteReference w:id="19"/>
      </w:r>
      <w:r>
        <w:t xml:space="preserve"> Therefore, the State would be unable to add adult dental and adult vision as a benefit through the benchmarking process. If the state wants to include adult dental and adult vision services in the benchmark plan a legislative mandate requiring the coverage in the individual and small group market would need to be put in place and would require the state to defray the costs of these services. </w:t>
      </w:r>
    </w:p>
    <w:p w14:paraId="7141BD20" w14:textId="1A6FE504" w:rsidR="00353814" w:rsidRDefault="00FC600F" w:rsidP="00C87BE7">
      <w:pPr>
        <w:jc w:val="both"/>
      </w:pPr>
      <w:r>
        <w:t>Adult d</w:t>
      </w:r>
      <w:r w:rsidR="000C7FDE">
        <w:t xml:space="preserve">ental and </w:t>
      </w:r>
      <w:r>
        <w:t>v</w:t>
      </w:r>
      <w:r w:rsidR="000C7FDE">
        <w:t xml:space="preserve">ision </w:t>
      </w:r>
      <w:r w:rsidR="009B36EE">
        <w:t>benefits were considered as an addition to the benchmark plan.</w:t>
      </w:r>
      <w:r w:rsidR="000D6313">
        <w:t xml:space="preserve"> Act 74 asked the Department to specifically consider dentures. </w:t>
      </w:r>
      <w:r w:rsidR="00A65830">
        <w:t xml:space="preserve">During the analysis and </w:t>
      </w:r>
      <w:r w:rsidR="006E164A">
        <w:t>consultation with</w:t>
      </w:r>
      <w:r w:rsidR="00317CFD">
        <w:t xml:space="preserve"> experts in the benefit area, it was </w:t>
      </w:r>
      <w:r w:rsidR="00CB6DA0">
        <w:t xml:space="preserve">suggested from a </w:t>
      </w:r>
      <w:r w:rsidR="002B7104">
        <w:t xml:space="preserve">model of care perspective that saving teeth rather than replacing them </w:t>
      </w:r>
      <w:r w:rsidR="0074565D">
        <w:t>is preferred when considering a dental benefit.</w:t>
      </w:r>
      <w:r w:rsidR="00CB6DA0">
        <w:t xml:space="preserve"> </w:t>
      </w:r>
      <w:r w:rsidR="0074565D">
        <w:t>P</w:t>
      </w:r>
      <w:r w:rsidR="00CB6DA0">
        <w:t xml:space="preserve">roviding a preventive dental benefit such as two annual cleanings would </w:t>
      </w:r>
      <w:r w:rsidR="002939CF">
        <w:t xml:space="preserve">have a greater </w:t>
      </w:r>
      <w:r w:rsidR="0020188A">
        <w:t>impact on</w:t>
      </w:r>
      <w:r w:rsidR="00B7340C">
        <w:t xml:space="preserve"> Vermonters’</w:t>
      </w:r>
      <w:r w:rsidR="002939CF">
        <w:t xml:space="preserve"> oral health </w:t>
      </w:r>
      <w:r w:rsidR="00EE66B0">
        <w:t>as opposed to dentures</w:t>
      </w:r>
      <w:r w:rsidR="002939CF">
        <w:t xml:space="preserve">, </w:t>
      </w:r>
      <w:r w:rsidR="004D4B9E">
        <w:t>a benefit which is mostly needed due to lack of regular dental care.</w:t>
      </w:r>
      <w:r w:rsidR="009B36EE">
        <w:t xml:space="preserve"> </w:t>
      </w:r>
      <w:r w:rsidR="00E74E55">
        <w:t>Generally older people are more likely to need dentures, making a preventative dental benefit more relevant to the population enrolled in the exchange where many older adults switch to Medicare upon their 65</w:t>
      </w:r>
      <w:r w:rsidR="00E74E55" w:rsidRPr="00E74E55">
        <w:rPr>
          <w:vertAlign w:val="superscript"/>
        </w:rPr>
        <w:t>th</w:t>
      </w:r>
      <w:r w:rsidR="00E74E55">
        <w:t xml:space="preserve"> birthday. </w:t>
      </w:r>
    </w:p>
    <w:p w14:paraId="0797E8A7" w14:textId="70F91A31" w:rsidR="007E1107" w:rsidRDefault="007E1107" w:rsidP="00C87BE7">
      <w:pPr>
        <w:jc w:val="both"/>
      </w:pPr>
      <w:r w:rsidRPr="00F80033">
        <w:t>An estimated 93 million adults in the United States are at high risk for serious vision loss, but only half visited an eye doctor in the past 12 months.</w:t>
      </w:r>
      <w:r>
        <w:t xml:space="preserve"> </w:t>
      </w:r>
      <w:r w:rsidRPr="004B17BB">
        <w:rPr>
          <w:rFonts w:cstheme="minorHAnsi"/>
          <w:color w:val="000000"/>
          <w:shd w:val="clear" w:color="auto" w:fill="FFFFFF"/>
        </w:rPr>
        <w:t xml:space="preserve">People with vision loss are more likely to report depression, diabetes, hearing </w:t>
      </w:r>
      <w:r w:rsidR="00D568FC">
        <w:rPr>
          <w:rFonts w:cstheme="minorHAnsi"/>
          <w:color w:val="000000"/>
          <w:shd w:val="clear" w:color="auto" w:fill="FFFFFF"/>
        </w:rPr>
        <w:t>loss</w:t>
      </w:r>
      <w:r w:rsidRPr="004B17BB">
        <w:rPr>
          <w:rFonts w:cstheme="minorHAnsi"/>
          <w:color w:val="000000"/>
          <w:shd w:val="clear" w:color="auto" w:fill="FFFFFF"/>
        </w:rPr>
        <w:t xml:space="preserve">, stroke, falls, cognitive decline, and premature death. Decreased ability to see often </w:t>
      </w:r>
      <w:r w:rsidRPr="004B17BB">
        <w:rPr>
          <w:rFonts w:cstheme="minorHAnsi"/>
          <w:color w:val="000000"/>
          <w:shd w:val="clear" w:color="auto" w:fill="FFFFFF"/>
        </w:rPr>
        <w:lastRenderedPageBreak/>
        <w:t>leads to the inability to drive, read, and travel in unfamiliar places, thus substantially compromising quality of life. The cost of vision loss, including direct costs and lost productivity, is estimated to exceed $35 billion</w:t>
      </w:r>
      <w:r w:rsidR="00AE35DD">
        <w:rPr>
          <w:rFonts w:cstheme="minorHAnsi"/>
          <w:color w:val="000000"/>
          <w:shd w:val="clear" w:color="auto" w:fill="FFFFFF"/>
        </w:rPr>
        <w:t xml:space="preserve"> nationally</w:t>
      </w:r>
      <w:r>
        <w:rPr>
          <w:rFonts w:cstheme="minorHAnsi"/>
          <w:color w:val="000000"/>
          <w:shd w:val="clear" w:color="auto" w:fill="FFFFFF"/>
        </w:rPr>
        <w:t xml:space="preserve">. </w:t>
      </w:r>
      <w:r w:rsidRPr="004B17BB">
        <w:rPr>
          <w:rFonts w:cstheme="minorHAnsi"/>
        </w:rPr>
        <w:t>Typical</w:t>
      </w:r>
      <w:r>
        <w:t xml:space="preserve"> adult vision benefits include services such as a dilated eye exam and associated vision materials such as glasses’ frames and lenses, and contact lenses.</w:t>
      </w:r>
      <w:r w:rsidR="0021338E">
        <w:rPr>
          <w:rStyle w:val="FootnoteReference"/>
        </w:rPr>
        <w:footnoteReference w:id="20"/>
      </w:r>
      <w:r>
        <w:t xml:space="preserve"> </w:t>
      </w:r>
    </w:p>
    <w:p w14:paraId="7F36E72A" w14:textId="7F686C82" w:rsidR="00C26B1D" w:rsidRDefault="00C26B1D" w:rsidP="008E4F14">
      <w:pPr>
        <w:pStyle w:val="Heading3"/>
      </w:pPr>
      <w:bookmarkStart w:id="16" w:name="_Toc93557864"/>
      <w:r>
        <w:t>Alignment with Health Care Reform Goals</w:t>
      </w:r>
      <w:bookmarkEnd w:id="16"/>
    </w:p>
    <w:p w14:paraId="5CCD3692" w14:textId="77777777" w:rsidR="00652331" w:rsidRPr="00652331" w:rsidRDefault="00652331" w:rsidP="00C87BE7">
      <w:pPr>
        <w:spacing w:after="0"/>
        <w:jc w:val="both"/>
      </w:pPr>
    </w:p>
    <w:p w14:paraId="6A308EDD" w14:textId="7FC08F75" w:rsidR="00552F6C" w:rsidRDefault="00C17894" w:rsidP="00C87BE7">
      <w:pPr>
        <w:spacing w:after="0"/>
        <w:jc w:val="both"/>
      </w:pPr>
      <w:r>
        <w:t>A dental</w:t>
      </w:r>
      <w:r w:rsidR="003027EE">
        <w:t xml:space="preserve"> benefit would be widely beneficial to</w:t>
      </w:r>
      <w:r w:rsidR="00AD127D">
        <w:t xml:space="preserve"> policyholders and align well with state health policy goals. </w:t>
      </w:r>
      <w:r w:rsidR="00B66481">
        <w:t>Oral health is a top priority under the State Health Improvement plan</w:t>
      </w:r>
      <w:r w:rsidR="00CE7E23">
        <w:t xml:space="preserve"> and</w:t>
      </w:r>
      <w:r w:rsidR="00732219">
        <w:t xml:space="preserve"> </w:t>
      </w:r>
      <w:r w:rsidR="00A20F7C">
        <w:t>is an</w:t>
      </w:r>
      <w:r w:rsidR="00732219">
        <w:t xml:space="preserve"> essential and integral component of overall health throughout life.</w:t>
      </w:r>
      <w:r w:rsidR="00EF112E">
        <w:rPr>
          <w:rStyle w:val="FootnoteReference"/>
        </w:rPr>
        <w:footnoteReference w:id="21"/>
      </w:r>
      <w:r w:rsidR="00732219">
        <w:t xml:space="preserve"> </w:t>
      </w:r>
      <w:r w:rsidR="00A3610D">
        <w:t>In 2016</w:t>
      </w:r>
      <w:r w:rsidR="00F14A84">
        <w:t>,</w:t>
      </w:r>
      <w:r w:rsidR="00A3610D">
        <w:t xml:space="preserve"> </w:t>
      </w:r>
      <w:r w:rsidR="00590A15">
        <w:t>73% of adults ages 45-64 with disabilities have lost at least 1 tooth to decay or gum</w:t>
      </w:r>
      <w:r w:rsidR="00680B97">
        <w:t xml:space="preserve"> </w:t>
      </w:r>
      <w:r w:rsidR="00590A15">
        <w:t>disease</w:t>
      </w:r>
      <w:r w:rsidR="00E4591B">
        <w:t xml:space="preserve">. </w:t>
      </w:r>
      <w:r w:rsidR="008536B8">
        <w:t>Integrating</w:t>
      </w:r>
      <w:r w:rsidR="00E4591B">
        <w:t xml:space="preserve"> a preventive dental benefit </w:t>
      </w:r>
      <w:r w:rsidR="008536B8">
        <w:t xml:space="preserve">into the benchmark plan </w:t>
      </w:r>
      <w:r w:rsidR="008A731C">
        <w:t xml:space="preserve">would </w:t>
      </w:r>
      <w:r w:rsidR="008536B8">
        <w:t xml:space="preserve">make </w:t>
      </w:r>
      <w:r w:rsidR="009D02D8">
        <w:t>oral health more accessible and affordable</w:t>
      </w:r>
      <w:r w:rsidR="00680B97">
        <w:t>.</w:t>
      </w:r>
      <w:r w:rsidR="00A3610D">
        <w:rPr>
          <w:rStyle w:val="FootnoteReference"/>
        </w:rPr>
        <w:footnoteReference w:id="22"/>
      </w:r>
      <w:r w:rsidR="00FA07DD">
        <w:t xml:space="preserve">  </w:t>
      </w:r>
      <w:r w:rsidR="00C57F3B">
        <w:t xml:space="preserve">Coverage of vision services </w:t>
      </w:r>
      <w:r w:rsidR="009E3CE8">
        <w:t xml:space="preserve">would also align with the </w:t>
      </w:r>
      <w:r w:rsidR="00370678">
        <w:t>high-level population health improvement goals contained in the All-Payer ACO Model Agreement. As noted</w:t>
      </w:r>
      <w:r w:rsidR="00C75484">
        <w:t xml:space="preserve"> above,</w:t>
      </w:r>
      <w:r w:rsidR="00370678">
        <w:t xml:space="preserve"> vision</w:t>
      </w:r>
      <w:r w:rsidR="007F1761">
        <w:t xml:space="preserve"> loss can contribute to poor health outcomes</w:t>
      </w:r>
      <w:r w:rsidR="00E17E4F">
        <w:t>.</w:t>
      </w:r>
    </w:p>
    <w:p w14:paraId="6C2A01A2" w14:textId="77777777" w:rsidR="00956C00" w:rsidRDefault="00956C00" w:rsidP="00C87BE7">
      <w:pPr>
        <w:spacing w:after="0"/>
        <w:jc w:val="both"/>
      </w:pPr>
    </w:p>
    <w:p w14:paraId="0407BFC8" w14:textId="3EA4E87F" w:rsidR="00B0727A" w:rsidRDefault="00B0727A" w:rsidP="00C87BE7">
      <w:pPr>
        <w:pStyle w:val="Heading2"/>
        <w:jc w:val="both"/>
      </w:pPr>
      <w:bookmarkStart w:id="18" w:name="_Toc93557865"/>
      <w:r>
        <w:t>Durable Medical Equipment</w:t>
      </w:r>
      <w:bookmarkEnd w:id="18"/>
      <w:r>
        <w:t xml:space="preserve"> </w:t>
      </w:r>
    </w:p>
    <w:p w14:paraId="6B5AD72E" w14:textId="16FDE70A" w:rsidR="005B112B" w:rsidRDefault="005B112B" w:rsidP="00C87BE7">
      <w:pPr>
        <w:spacing w:after="0"/>
        <w:jc w:val="both"/>
      </w:pPr>
    </w:p>
    <w:p w14:paraId="259530B1" w14:textId="1A73C629" w:rsidR="005B112B" w:rsidRDefault="005B112B" w:rsidP="00C87BE7">
      <w:pPr>
        <w:jc w:val="both"/>
      </w:pPr>
      <w:r>
        <w:t>Durable Medical Equipment</w:t>
      </w:r>
      <w:r w:rsidR="001E2E42">
        <w:t xml:space="preserve"> (DME)</w:t>
      </w:r>
      <w:r>
        <w:t xml:space="preserve"> </w:t>
      </w:r>
      <w:r w:rsidR="00DF270B">
        <w:t xml:space="preserve">is currently a covered benefit under the existing Vermont Benchmark Plan. </w:t>
      </w:r>
      <w:r w:rsidR="001E2E42">
        <w:t xml:space="preserve">DME is an essential health benefit under the rehabilitative and habilitative services and devices category. </w:t>
      </w:r>
      <w:r w:rsidR="00F349BE">
        <w:t>DME</w:t>
      </w:r>
      <w:r w:rsidR="00F349BE" w:rsidRPr="00F349BE">
        <w:t xml:space="preserve"> is equipment which can withstand repeated use, is primarily and customarily used to serve a medical purpose, generally is not useful to a person in the absence of an illness or </w:t>
      </w:r>
      <w:r w:rsidR="00043D9E" w:rsidRPr="00F349BE">
        <w:t>injury</w:t>
      </w:r>
      <w:r w:rsidR="00043D9E">
        <w:t xml:space="preserve"> and</w:t>
      </w:r>
      <w:r w:rsidR="00F349BE" w:rsidRPr="00F349BE">
        <w:t> is appropriate for use in the home.</w:t>
      </w:r>
      <w:r w:rsidR="008419AF">
        <w:rPr>
          <w:rStyle w:val="FootnoteReference"/>
        </w:rPr>
        <w:footnoteReference w:id="23"/>
      </w:r>
    </w:p>
    <w:p w14:paraId="2952808C" w14:textId="03DEA0CE" w:rsidR="008419AF" w:rsidRPr="005B112B" w:rsidRDefault="008419AF" w:rsidP="00C87BE7">
      <w:pPr>
        <w:jc w:val="both"/>
      </w:pPr>
      <w:r>
        <w:t xml:space="preserve">After hearing from </w:t>
      </w:r>
      <w:r w:rsidR="001D40AD">
        <w:t xml:space="preserve">interested parties and working group members, there was a consensus that the current DME benefit </w:t>
      </w:r>
      <w:r w:rsidR="00916C24">
        <w:t xml:space="preserve">did not need expansion. </w:t>
      </w:r>
      <w:r w:rsidR="001161D4">
        <w:t xml:space="preserve">Concerns were raised </w:t>
      </w:r>
      <w:r w:rsidR="00F75472">
        <w:t>regarding</w:t>
      </w:r>
      <w:r w:rsidR="001161D4">
        <w:t xml:space="preserve"> the prior authorization requirements and </w:t>
      </w:r>
      <w:r w:rsidR="00FA48D3">
        <w:t xml:space="preserve">availability of DME due to </w:t>
      </w:r>
      <w:r w:rsidR="004417C8">
        <w:t>current supply chain issues</w:t>
      </w:r>
      <w:r w:rsidR="00FA48D3">
        <w:t xml:space="preserve">. The Department of Financial Regulation plans to </w:t>
      </w:r>
      <w:r w:rsidR="00F75472">
        <w:t>exam</w:t>
      </w:r>
      <w:r w:rsidR="00F67F35">
        <w:t>ine</w:t>
      </w:r>
      <w:r w:rsidR="00F75472">
        <w:t xml:space="preserve"> the current prior authorization requirements </w:t>
      </w:r>
      <w:r w:rsidR="00F67F35">
        <w:t>to ensure</w:t>
      </w:r>
      <w:r w:rsidR="00E540C3">
        <w:t xml:space="preserve"> the DME benefit is readily accessible to those who need it. </w:t>
      </w:r>
    </w:p>
    <w:p w14:paraId="5D222BA0" w14:textId="5932DE15" w:rsidR="002D0958" w:rsidRDefault="007101DF" w:rsidP="00C87BE7">
      <w:pPr>
        <w:pStyle w:val="Heading2"/>
        <w:jc w:val="both"/>
      </w:pPr>
      <w:bookmarkStart w:id="19" w:name="_Toc93557866"/>
      <w:r>
        <w:t>Medically Tailored Meals and Nutritional Counseling</w:t>
      </w:r>
      <w:bookmarkEnd w:id="19"/>
      <w:r>
        <w:t xml:space="preserve"> </w:t>
      </w:r>
    </w:p>
    <w:p w14:paraId="66922CD3" w14:textId="5D26EA03" w:rsidR="009D0BF9" w:rsidRDefault="009D0BF9" w:rsidP="00C87BE7">
      <w:pPr>
        <w:spacing w:after="0"/>
        <w:jc w:val="both"/>
      </w:pPr>
    </w:p>
    <w:p w14:paraId="38EC6BB4" w14:textId="62031E85" w:rsidR="001E7781" w:rsidRDefault="001F6CE6" w:rsidP="00C87BE7">
      <w:pPr>
        <w:jc w:val="both"/>
      </w:pPr>
      <w:r>
        <w:t>M</w:t>
      </w:r>
      <w:r w:rsidR="001E7781">
        <w:t>edically tailored meals are not</w:t>
      </w:r>
      <w:r>
        <w:t xml:space="preserve"> currently</w:t>
      </w:r>
      <w:r w:rsidR="001E7781">
        <w:t xml:space="preserve"> a covered benefit in the Vermont benchmark plan. </w:t>
      </w:r>
      <w:r w:rsidR="001F1FAC">
        <w:t xml:space="preserve">Food </w:t>
      </w:r>
      <w:r w:rsidR="000D2FE2">
        <w:t xml:space="preserve">has historically </w:t>
      </w:r>
      <w:r w:rsidR="007E06E7">
        <w:t xml:space="preserve">not been </w:t>
      </w:r>
      <w:r w:rsidR="009B6C9D">
        <w:t>a common benefit under</w:t>
      </w:r>
      <w:r w:rsidR="007E06E7">
        <w:t xml:space="preserve"> health insurance </w:t>
      </w:r>
      <w:r w:rsidR="006C16A3">
        <w:t>coverage,</w:t>
      </w:r>
      <w:r w:rsidR="008C48E1">
        <w:t xml:space="preserve"> but </w:t>
      </w:r>
      <w:r w:rsidR="0032500E">
        <w:t xml:space="preserve">there is a growing </w:t>
      </w:r>
      <w:r w:rsidR="00346E30">
        <w:t>body</w:t>
      </w:r>
      <w:r w:rsidR="0032500E">
        <w:t xml:space="preserve"> of </w:t>
      </w:r>
      <w:r w:rsidR="0032500E">
        <w:lastRenderedPageBreak/>
        <w:t>research</w:t>
      </w:r>
      <w:r w:rsidR="008C48E1">
        <w:t xml:space="preserve"> </w:t>
      </w:r>
      <w:r w:rsidR="009C7F48">
        <w:t xml:space="preserve">demonstrating </w:t>
      </w:r>
      <w:r w:rsidR="00F70717">
        <w:t>that food used as a medical intervention can be a</w:t>
      </w:r>
      <w:r w:rsidR="009C4168">
        <w:t xml:space="preserve"> powerful tool for improving health outcomes, especially for those who have </w:t>
      </w:r>
      <w:r w:rsidR="001231AD">
        <w:t>chronic conditions such as diabetes and heart disease.</w:t>
      </w:r>
      <w:r w:rsidR="00915DA6">
        <w:rPr>
          <w:rStyle w:val="FootnoteReference"/>
        </w:rPr>
        <w:footnoteReference w:id="24"/>
      </w:r>
      <w:r w:rsidR="001231AD">
        <w:t xml:space="preserve"> </w:t>
      </w:r>
    </w:p>
    <w:p w14:paraId="04431832" w14:textId="36827F75" w:rsidR="008E4F14" w:rsidRDefault="009B4798" w:rsidP="00314FDF">
      <w:pPr>
        <w:spacing w:after="0"/>
        <w:jc w:val="both"/>
      </w:pPr>
      <w:r>
        <w:t>Medically tailored meals are meals developed to address a dietary need of an individu</w:t>
      </w:r>
      <w:r w:rsidR="00F40AC1">
        <w:t xml:space="preserve">al’s medical condition. </w:t>
      </w:r>
      <w:r w:rsidR="00082F6D">
        <w:t xml:space="preserve">Other models of food as medicine are medically tailored food packages and nutritious food referrals. </w:t>
      </w:r>
      <w:r w:rsidR="00EB754D">
        <w:t>Medically tailored meals, while present in some commercial health insurance markets, would be a novel benefit for inclusion as an EHB. More research is needed at this point to consider adding medically tailored meals to Vermont’s benchmark plan.</w:t>
      </w:r>
    </w:p>
    <w:p w14:paraId="560C1E4F" w14:textId="77777777" w:rsidR="00314FDF" w:rsidRDefault="00314FDF" w:rsidP="00314FDF">
      <w:pPr>
        <w:spacing w:after="0"/>
        <w:jc w:val="both"/>
      </w:pPr>
    </w:p>
    <w:p w14:paraId="7DDBE55F" w14:textId="022F2407" w:rsidR="00E75D76" w:rsidRDefault="00E75D76" w:rsidP="00FA4701">
      <w:pPr>
        <w:pStyle w:val="Heading3"/>
        <w:spacing w:before="0" w:after="240"/>
      </w:pPr>
      <w:bookmarkStart w:id="20" w:name="_Toc93557867"/>
      <w:r>
        <w:t>Alignment with Health Care Reform Goals</w:t>
      </w:r>
      <w:bookmarkEnd w:id="20"/>
    </w:p>
    <w:p w14:paraId="3AF24D44" w14:textId="0BC2C7D7" w:rsidR="00095F37" w:rsidRDefault="00E34D5A" w:rsidP="00C87BE7">
      <w:pPr>
        <w:jc w:val="both"/>
      </w:pPr>
      <w:r>
        <w:t>According to the Vermont Department of Health, f</w:t>
      </w:r>
      <w:r w:rsidR="00095F37">
        <w:t>ood insecurity impacts 10% of Vermonters</w:t>
      </w:r>
      <w:r w:rsidR="00FC7AD5">
        <w:t xml:space="preserve"> in 2017</w:t>
      </w:r>
      <w:r w:rsidR="00891B15">
        <w:t>.</w:t>
      </w:r>
      <w:r w:rsidR="00095F37">
        <w:rPr>
          <w:rStyle w:val="FootnoteReference"/>
        </w:rPr>
        <w:footnoteReference w:id="25"/>
      </w:r>
      <w:r w:rsidR="00095F37">
        <w:t xml:space="preserve"> </w:t>
      </w:r>
      <w:r w:rsidR="00891B15">
        <w:t>Food insecurity</w:t>
      </w:r>
      <w:r w:rsidR="00095F37">
        <w:t xml:space="preserve"> is defined as the uncertain ability to obtain healthy food because of financial or access limitations.</w:t>
      </w:r>
      <w:r w:rsidR="00095F37">
        <w:rPr>
          <w:rStyle w:val="FootnoteReference"/>
        </w:rPr>
        <w:footnoteReference w:id="26"/>
      </w:r>
      <w:r w:rsidR="00095F37">
        <w:t xml:space="preserve"> </w:t>
      </w:r>
      <w:r w:rsidR="00BB4517">
        <w:t>Food</w:t>
      </w:r>
      <w:r w:rsidR="00095F37">
        <w:t xml:space="preserve"> as medicine </w:t>
      </w:r>
      <w:r w:rsidR="0087153F">
        <w:t xml:space="preserve">programs </w:t>
      </w:r>
      <w:r w:rsidR="00095F37">
        <w:t>can be effective and low-cost method</w:t>
      </w:r>
      <w:r w:rsidR="0087153F">
        <w:t>s</w:t>
      </w:r>
      <w:r w:rsidR="00095F37">
        <w:t xml:space="preserve"> for improving health outcomes and lowering health care utilization.  </w:t>
      </w:r>
      <w:r w:rsidR="00415BDA">
        <w:t>Prescription drugs</w:t>
      </w:r>
      <w:r w:rsidR="00482565">
        <w:t>,</w:t>
      </w:r>
      <w:r w:rsidR="001637D6">
        <w:t xml:space="preserve"> such as insulin</w:t>
      </w:r>
      <w:r w:rsidR="00242728">
        <w:t xml:space="preserve">, used to treat chronic conditions </w:t>
      </w:r>
      <w:r w:rsidR="00EB72E3">
        <w:t xml:space="preserve">are a leading driver of health care costs. </w:t>
      </w:r>
      <w:r w:rsidR="001F5C17">
        <w:t xml:space="preserve">Integrating a </w:t>
      </w:r>
      <w:r w:rsidR="00246E45">
        <w:t xml:space="preserve">food </w:t>
      </w:r>
      <w:r w:rsidR="0097254A">
        <w:t xml:space="preserve">benefit </w:t>
      </w:r>
      <w:r w:rsidR="00E52B19">
        <w:t xml:space="preserve">to help prevent the utilization of </w:t>
      </w:r>
      <w:r w:rsidR="00EF6F26">
        <w:t>expensive</w:t>
      </w:r>
      <w:r w:rsidR="005D29CE">
        <w:t xml:space="preserve"> drugs</w:t>
      </w:r>
      <w:r w:rsidR="004D7B37">
        <w:t>,</w:t>
      </w:r>
      <w:r w:rsidR="005D29CE">
        <w:t xml:space="preserve"> </w:t>
      </w:r>
      <w:r w:rsidR="00575887">
        <w:t>would</w:t>
      </w:r>
      <w:r w:rsidR="00290524">
        <w:t xml:space="preserve"> help</w:t>
      </w:r>
      <w:r w:rsidR="00575887">
        <w:t xml:space="preserve"> </w:t>
      </w:r>
      <w:r w:rsidR="00D544DA">
        <w:t xml:space="preserve">move Vermont towards a more affordable health system. </w:t>
      </w:r>
      <w:r w:rsidR="008705CD">
        <w:t xml:space="preserve"> </w:t>
      </w:r>
      <w:r w:rsidR="00D442CD">
        <w:t xml:space="preserve"> </w:t>
      </w:r>
    </w:p>
    <w:p w14:paraId="045E2D66" w14:textId="43553232" w:rsidR="009B3CEB" w:rsidRDefault="002A5FFF" w:rsidP="00C87BE7">
      <w:pPr>
        <w:jc w:val="both"/>
      </w:pPr>
      <w:r>
        <w:t>Food insecurity is a root cause of chronic conditions</w:t>
      </w:r>
      <w:r w:rsidR="00B57485">
        <w:t xml:space="preserve">, </w:t>
      </w:r>
      <w:r w:rsidR="0087153F">
        <w:t xml:space="preserve">and individuals experiencing </w:t>
      </w:r>
      <w:r w:rsidR="00B57485">
        <w:t xml:space="preserve">food insecurity </w:t>
      </w:r>
      <w:r w:rsidR="0087153F">
        <w:t>are</w:t>
      </w:r>
      <w:r w:rsidR="00B57485">
        <w:t xml:space="preserve"> 65% percent more likely to be diabetic and </w:t>
      </w:r>
      <w:r w:rsidR="00095F37">
        <w:t>66% more likely to have a heart attack or heart failure</w:t>
      </w:r>
      <w:r>
        <w:t>.</w:t>
      </w:r>
      <w:r w:rsidR="00095F37">
        <w:rPr>
          <w:rStyle w:val="FootnoteReference"/>
        </w:rPr>
        <w:footnoteReference w:id="27"/>
      </w:r>
      <w:r>
        <w:t xml:space="preserve"> </w:t>
      </w:r>
      <w:r w:rsidR="006F73F7">
        <w:t>Here in Vermont</w:t>
      </w:r>
      <w:r w:rsidR="005C650D">
        <w:t>, 64% of adults had at least one chronic disease in 2016</w:t>
      </w:r>
      <w:r w:rsidR="004321B9">
        <w:t>, costing $2.17 billion in that same year.</w:t>
      </w:r>
      <w:r w:rsidR="009248EA">
        <w:t xml:space="preserve"> Being overweight </w:t>
      </w:r>
      <w:r w:rsidR="00271CD8">
        <w:t xml:space="preserve">or obese </w:t>
      </w:r>
      <w:r w:rsidR="00C4549D">
        <w:t xml:space="preserve">increases the risk for serious illnesses and </w:t>
      </w:r>
      <w:r w:rsidR="00B351AE">
        <w:t xml:space="preserve">chronic </w:t>
      </w:r>
      <w:r w:rsidR="00E87929">
        <w:t>conditions such as diabetes, heart disease, and some cancers.</w:t>
      </w:r>
      <w:r w:rsidR="007F5FE6">
        <w:t xml:space="preserve"> </w:t>
      </w:r>
      <w:r w:rsidR="008537FA">
        <w:t>Today, Vermonters are more likely to die from largely preventable chronic diseases</w:t>
      </w:r>
      <w:r w:rsidR="00D224A5">
        <w:t xml:space="preserve"> than from an </w:t>
      </w:r>
      <w:r w:rsidR="00AF2DCE">
        <w:t>infectious</w:t>
      </w:r>
      <w:r w:rsidR="00D224A5">
        <w:t xml:space="preserve"> disease. </w:t>
      </w:r>
      <w:r w:rsidR="00BF4C8C">
        <w:t xml:space="preserve">Poor nutrition </w:t>
      </w:r>
      <w:r w:rsidR="00E67CEF">
        <w:t xml:space="preserve">contributes to </w:t>
      </w:r>
      <w:r w:rsidR="00812167">
        <w:t>the</w:t>
      </w:r>
      <w:r w:rsidR="00E67CEF">
        <w:t xml:space="preserve"> development and severity of chronic conditions. </w:t>
      </w:r>
    </w:p>
    <w:p w14:paraId="5F54491D" w14:textId="2476CB08" w:rsidR="008445EF" w:rsidRPr="008445EF" w:rsidRDefault="008445EF" w:rsidP="006A5434">
      <w:pPr>
        <w:pStyle w:val="Heading2"/>
      </w:pPr>
      <w:bookmarkStart w:id="21" w:name="_Toc93557868"/>
      <w:r>
        <w:t>Primary Care</w:t>
      </w:r>
      <w:bookmarkEnd w:id="21"/>
      <w:r>
        <w:t xml:space="preserve"> </w:t>
      </w:r>
    </w:p>
    <w:p w14:paraId="61386A42" w14:textId="77777777" w:rsidR="00E34D5A" w:rsidRDefault="00E34D5A" w:rsidP="00E34D5A">
      <w:pPr>
        <w:spacing w:after="0"/>
      </w:pPr>
    </w:p>
    <w:p w14:paraId="1E4B272D" w14:textId="77777777" w:rsidR="00A87B20" w:rsidRDefault="00660D9A" w:rsidP="00295683">
      <w:r>
        <w:t xml:space="preserve">The legislature </w:t>
      </w:r>
      <w:r w:rsidR="0010773A">
        <w:t xml:space="preserve">also asked the Department to look at the impact </w:t>
      </w:r>
      <w:r w:rsidR="00BF01E0">
        <w:t>of eliminating cost share for two primary care visits. Currently under the benchmark plan, one preventative annual visit is covered without cost share</w:t>
      </w:r>
      <w:r w:rsidR="008A679A">
        <w:t xml:space="preserve"> and a few non-standard plans </w:t>
      </w:r>
      <w:r w:rsidR="000B4333">
        <w:t>offer more than one visit without cost-share.</w:t>
      </w:r>
      <w:r w:rsidR="000B4333">
        <w:rPr>
          <w:rStyle w:val="FootnoteReference"/>
        </w:rPr>
        <w:footnoteReference w:id="28"/>
      </w:r>
    </w:p>
    <w:p w14:paraId="357B1209" w14:textId="4BD07326" w:rsidR="00A87B20" w:rsidRDefault="00A87B20" w:rsidP="00295683">
      <w:r>
        <w:t>Primary care services are defined as:</w:t>
      </w:r>
    </w:p>
    <w:p w14:paraId="1799B55D" w14:textId="0712916A" w:rsidR="008C02D3" w:rsidRDefault="00AB331F" w:rsidP="00B56952">
      <w:pPr>
        <w:ind w:left="720"/>
      </w:pPr>
      <w:r>
        <w:lastRenderedPageBreak/>
        <w:t>Health services provided by health care professionals who are specifically trained for and skilled in first-contact and continuing care for individuals with signs, symptoms, or health concerns, not limited by problem origin, organ system, or diagnosis, and includes pediatrics, internal and family medicine, gynecology, primary mental health services, and other health services commonly provided at federally qualified health centers. Primary care does not include dental services.</w:t>
      </w:r>
      <w:r>
        <w:rPr>
          <w:rStyle w:val="FootnoteReference"/>
        </w:rPr>
        <w:footnoteReference w:id="29"/>
      </w:r>
    </w:p>
    <w:p w14:paraId="1C5B8045" w14:textId="2647B8B8" w:rsidR="00A87B20" w:rsidRDefault="005C6930" w:rsidP="009F2099">
      <w:pPr>
        <w:jc w:val="both"/>
      </w:pPr>
      <w:r>
        <w:t xml:space="preserve">Primary care </w:t>
      </w:r>
      <w:r w:rsidR="00351629">
        <w:t>is most of the care that people receive and has been show</w:t>
      </w:r>
      <w:r w:rsidR="00D62240">
        <w:t>n</w:t>
      </w:r>
      <w:r w:rsidR="00351629">
        <w:t xml:space="preserve"> to improve </w:t>
      </w:r>
      <w:r w:rsidR="00D62240">
        <w:t>health outcomes</w:t>
      </w:r>
      <w:r w:rsidR="00351629">
        <w:t xml:space="preserve">, lower </w:t>
      </w:r>
      <w:r w:rsidR="00450C66">
        <w:t>costs across the health care system</w:t>
      </w:r>
      <w:r w:rsidR="00351629">
        <w:t xml:space="preserve">, and improve quality </w:t>
      </w:r>
      <w:r w:rsidR="006B5568">
        <w:t>of</w:t>
      </w:r>
      <w:r w:rsidR="00351629">
        <w:t xml:space="preserve"> care outcomes. </w:t>
      </w:r>
      <w:r w:rsidR="00450C66">
        <w:t>Promoting utilization of preventive services, such as primary care, reduces downstream costs and preventable disease and death.</w:t>
      </w:r>
      <w:r w:rsidR="003D5800">
        <w:t xml:space="preserve"> </w:t>
      </w:r>
      <w:r w:rsidR="00C23A3F">
        <w:t>Evidence shows that h</w:t>
      </w:r>
      <w:r w:rsidR="003D5800">
        <w:t>igher</w:t>
      </w:r>
      <w:r w:rsidR="0034538A">
        <w:t xml:space="preserve"> overall spending on primary care has led to better health outcomes</w:t>
      </w:r>
      <w:r w:rsidR="00C23A3F">
        <w:t xml:space="preserve"> and </w:t>
      </w:r>
      <w:r w:rsidR="00534350">
        <w:t xml:space="preserve">lower </w:t>
      </w:r>
      <w:r w:rsidR="00C23A3F">
        <w:t>spending on chronic conditions</w:t>
      </w:r>
      <w:r w:rsidR="0034538A">
        <w:t>.</w:t>
      </w:r>
      <w:r w:rsidR="0034538A">
        <w:rPr>
          <w:rStyle w:val="FootnoteReference"/>
        </w:rPr>
        <w:footnoteReference w:id="30"/>
      </w:r>
    </w:p>
    <w:p w14:paraId="51EA9606" w14:textId="14358D39" w:rsidR="00A87B20" w:rsidRDefault="007413F5" w:rsidP="009F2099">
      <w:pPr>
        <w:jc w:val="both"/>
      </w:pPr>
      <w:r>
        <w:t xml:space="preserve">The benchmarking process </w:t>
      </w:r>
      <w:r w:rsidR="00E62747">
        <w:t xml:space="preserve">allows states to add benefits which are currently not included </w:t>
      </w:r>
      <w:r w:rsidR="003457DE">
        <w:t>in the state</w:t>
      </w:r>
      <w:r w:rsidR="00E24D9F">
        <w:t>’</w:t>
      </w:r>
      <w:r w:rsidR="003457DE">
        <w:t xml:space="preserve">s benchmark plan. </w:t>
      </w:r>
      <w:r w:rsidR="001F41AE">
        <w:t xml:space="preserve">The process does </w:t>
      </w:r>
      <w:r w:rsidR="008A2533">
        <w:t xml:space="preserve">not impact the associated cost share a benefit </w:t>
      </w:r>
      <w:r w:rsidR="00150D03">
        <w:t xml:space="preserve">will be subject to. </w:t>
      </w:r>
      <w:r w:rsidR="00ED53E1">
        <w:t xml:space="preserve">Primary care is currently a </w:t>
      </w:r>
      <w:r w:rsidR="00B50F5E">
        <w:t xml:space="preserve">covered benefit, and therefore </w:t>
      </w:r>
      <w:r w:rsidR="00E11FDC">
        <w:t xml:space="preserve">adjusting the cost sharing level </w:t>
      </w:r>
      <w:r w:rsidR="00BB3F13">
        <w:t xml:space="preserve">is a process </w:t>
      </w:r>
      <w:r w:rsidR="003503F5">
        <w:t xml:space="preserve">that </w:t>
      </w:r>
      <w:r w:rsidR="00151035">
        <w:t xml:space="preserve">is not a covered change under the </w:t>
      </w:r>
      <w:r w:rsidR="00C93224">
        <w:t>benchmarking process described in</w:t>
      </w:r>
      <w:r w:rsidR="00DB6C15">
        <w:t xml:space="preserve"> Section II above.</w:t>
      </w:r>
      <w:r w:rsidR="00F716F7">
        <w:t xml:space="preserve"> </w:t>
      </w:r>
      <w:r w:rsidR="00A32AB9">
        <w:t>The Standard QH</w:t>
      </w:r>
      <w:r w:rsidR="00C52F05">
        <w:t xml:space="preserve">P </w:t>
      </w:r>
      <w:r w:rsidR="009F76B8">
        <w:t xml:space="preserve">Design </w:t>
      </w:r>
      <w:r w:rsidR="0019121B">
        <w:t>Working Group</w:t>
      </w:r>
      <w:r w:rsidR="00C52F05">
        <w:t xml:space="preserve"> address plan design, and adjustments to cost shares. The group </w:t>
      </w:r>
      <w:r w:rsidR="00E12F2E">
        <w:t xml:space="preserve">is currently considering </w:t>
      </w:r>
      <w:r w:rsidR="00AD3A95">
        <w:t>a change to the standard out of pocket cost for primary care visits.</w:t>
      </w:r>
      <w:r w:rsidR="00C93224">
        <w:t xml:space="preserve"> </w:t>
      </w:r>
      <w:r w:rsidR="003145E3">
        <w:t xml:space="preserve">Important to note is </w:t>
      </w:r>
      <w:r w:rsidR="00BC0E1D">
        <w:t>high deductible health plans are now allowed to cover non-</w:t>
      </w:r>
      <w:r w:rsidR="0035236C">
        <w:t xml:space="preserve">preventive </w:t>
      </w:r>
      <w:r w:rsidR="002F1948">
        <w:t>services prior to the deductible being met.</w:t>
      </w:r>
      <w:r w:rsidR="00672CD9">
        <w:rPr>
          <w:rStyle w:val="FootnoteReference"/>
        </w:rPr>
        <w:footnoteReference w:id="31"/>
      </w:r>
      <w:r w:rsidR="002F1948">
        <w:t xml:space="preserve"> If the </w:t>
      </w:r>
      <w:r w:rsidR="00E24D9F">
        <w:t xml:space="preserve">State </w:t>
      </w:r>
      <w:r w:rsidR="002F1948">
        <w:t xml:space="preserve">were to allow for two primary care visits to be covered at no cost share, the change would only be impactful for plans without a high deductible. </w:t>
      </w:r>
    </w:p>
    <w:p w14:paraId="7CC803B2" w14:textId="713FF09D" w:rsidR="00307E8B" w:rsidRDefault="00B8485B" w:rsidP="00CA7650">
      <w:pPr>
        <w:pStyle w:val="Heading1"/>
        <w:numPr>
          <w:ilvl w:val="0"/>
          <w:numId w:val="15"/>
        </w:numPr>
        <w:spacing w:before="0" w:after="240"/>
      </w:pPr>
      <w:bookmarkStart w:id="22" w:name="_Toc93557869"/>
      <w:r>
        <w:t>Findings</w:t>
      </w:r>
      <w:bookmarkEnd w:id="22"/>
      <w:r>
        <w:t xml:space="preserve"> </w:t>
      </w:r>
    </w:p>
    <w:p w14:paraId="0A6DCBC4" w14:textId="72CFEA83" w:rsidR="00111192" w:rsidRDefault="00AE3D80" w:rsidP="00CA7650">
      <w:pPr>
        <w:pStyle w:val="Heading2"/>
        <w:spacing w:before="0" w:after="240"/>
      </w:pPr>
      <w:bookmarkStart w:id="23" w:name="_Toc93557870"/>
      <w:r>
        <w:t>Plan and Benefit Analysis</w:t>
      </w:r>
      <w:bookmarkEnd w:id="23"/>
      <w:r>
        <w:t xml:space="preserve"> </w:t>
      </w:r>
    </w:p>
    <w:p w14:paraId="54FA76B8" w14:textId="10F2D8C2" w:rsidR="00BD4C4C" w:rsidRDefault="00BD4C4C" w:rsidP="009F2099">
      <w:pPr>
        <w:jc w:val="both"/>
      </w:pPr>
      <w:proofErr w:type="spellStart"/>
      <w:r>
        <w:t>Wakely</w:t>
      </w:r>
      <w:proofErr w:type="spellEnd"/>
      <w:r>
        <w:t xml:space="preserve"> Consulting performed the Typicality and Generosity test</w:t>
      </w:r>
      <w:r w:rsidR="007349D1">
        <w:t>ing</w:t>
      </w:r>
      <w:r w:rsidR="00CA7650">
        <w:t xml:space="preserve"> on behalf of the Department</w:t>
      </w:r>
      <w:r w:rsidR="007349D1">
        <w:t xml:space="preserve">. </w:t>
      </w:r>
      <w:r w:rsidR="0000678A">
        <w:t xml:space="preserve">These tests involve an actuarial analysis to determine </w:t>
      </w:r>
      <w:r w:rsidR="00E24D9F">
        <w:t xml:space="preserve">whether </w:t>
      </w:r>
      <w:r w:rsidR="0000678A">
        <w:t xml:space="preserve">the plan with the incorporated changes </w:t>
      </w:r>
      <w:r w:rsidR="00E24D9F">
        <w:t xml:space="preserve">would be </w:t>
      </w:r>
      <w:r w:rsidR="0070350E">
        <w:t xml:space="preserve">equal to a typical employer plan but no more generous than </w:t>
      </w:r>
      <w:r w:rsidR="0040105B">
        <w:t>the richest plan available</w:t>
      </w:r>
      <w:r w:rsidR="00AA5942">
        <w:t xml:space="preserve">. To add benefits </w:t>
      </w:r>
      <w:r w:rsidR="007F6F87">
        <w:t xml:space="preserve">to the current benchmark plan under the generosity test, the benefits to be added must not exceed the actuarial value of the </w:t>
      </w:r>
      <w:r w:rsidR="002924F9">
        <w:t>richest</w:t>
      </w:r>
      <w:r w:rsidR="007F6F87">
        <w:t xml:space="preserve"> plan.</w:t>
      </w:r>
      <w:r w:rsidR="00184B52">
        <w:t xml:space="preserve"> This analysis provides the amount of actuarial value</w:t>
      </w:r>
      <w:r w:rsidR="007349D1">
        <w:t xml:space="preserve"> or the “room” available to modify benefits</w:t>
      </w:r>
      <w:r w:rsidR="00184B52">
        <w:t>.</w:t>
      </w:r>
    </w:p>
    <w:p w14:paraId="703F2EA7" w14:textId="7DCC9079" w:rsidR="00145390" w:rsidRDefault="00145390" w:rsidP="009F2099">
      <w:pPr>
        <w:jc w:val="both"/>
      </w:pPr>
      <w:r>
        <w:t xml:space="preserve">Among the </w:t>
      </w:r>
      <w:r w:rsidR="0055031B">
        <w:t>benchmark plan options, the State Employee Health Plan was identified as the richest plan, and therefore</w:t>
      </w:r>
      <w:r w:rsidR="0003795B">
        <w:t xml:space="preserve"> was used to determine how </w:t>
      </w:r>
      <w:r w:rsidR="00DF2983">
        <w:t xml:space="preserve">much value could be added to the current plan. Effectively the State plan places the ceiling on </w:t>
      </w:r>
      <w:r w:rsidR="006D6A5A">
        <w:t xml:space="preserve">how much value of EHBs can be added to the current plan. </w:t>
      </w:r>
      <w:proofErr w:type="spellStart"/>
      <w:r w:rsidR="009623C6">
        <w:t>Wakely</w:t>
      </w:r>
      <w:proofErr w:type="spellEnd"/>
      <w:r w:rsidR="009623C6">
        <w:t xml:space="preserve"> determined </w:t>
      </w:r>
      <w:r w:rsidR="007D59A9">
        <w:t>a</w:t>
      </w:r>
      <w:r w:rsidR="009623C6">
        <w:t xml:space="preserve"> range between </w:t>
      </w:r>
      <w:r w:rsidR="000B2DB6">
        <w:t>1.</w:t>
      </w:r>
      <w:r w:rsidR="00F568E0">
        <w:t>58</w:t>
      </w:r>
      <w:r w:rsidR="009623C6">
        <w:t>% and 2.2</w:t>
      </w:r>
      <w:r w:rsidR="00F568E0">
        <w:t>9</w:t>
      </w:r>
      <w:r w:rsidR="009623C6">
        <w:t>% of allowed cost</w:t>
      </w:r>
      <w:r w:rsidR="00E03DB8">
        <w:t xml:space="preserve"> </w:t>
      </w:r>
      <w:r w:rsidR="00D2414B">
        <w:t xml:space="preserve">available for additional benefits. </w:t>
      </w:r>
    </w:p>
    <w:p w14:paraId="0D50E190" w14:textId="21839D74" w:rsidR="00CE1FF0" w:rsidRDefault="00CE1FF0" w:rsidP="009F2099">
      <w:pPr>
        <w:pStyle w:val="Heading3"/>
        <w:spacing w:before="0" w:after="240"/>
        <w:jc w:val="both"/>
      </w:pPr>
      <w:bookmarkStart w:id="24" w:name="_Toc93557871"/>
      <w:r>
        <w:lastRenderedPageBreak/>
        <w:t>Discriminatory Benefits</w:t>
      </w:r>
      <w:bookmarkEnd w:id="24"/>
    </w:p>
    <w:p w14:paraId="78241EDF" w14:textId="5CECAEA5" w:rsidR="007F6F87" w:rsidRDefault="00D2414B" w:rsidP="009F2099">
      <w:pPr>
        <w:jc w:val="both"/>
      </w:pPr>
      <w:r>
        <w:t>The</w:t>
      </w:r>
      <w:r w:rsidR="00CE702F">
        <w:t xml:space="preserve"> value of each</w:t>
      </w:r>
      <w:r w:rsidR="007F6F87">
        <w:t xml:space="preserve"> benefit being considered for inclusion </w:t>
      </w:r>
      <w:r w:rsidR="00CE702F">
        <w:t xml:space="preserve">in the 2024 benchmark plan was considered. </w:t>
      </w:r>
      <w:r w:rsidR="00440753">
        <w:t>During the</w:t>
      </w:r>
      <w:r w:rsidR="00A23412">
        <w:t xml:space="preserve"> analysis, </w:t>
      </w:r>
      <w:r w:rsidR="00B8060B">
        <w:t>four</w:t>
      </w:r>
      <w:r w:rsidR="00A23412">
        <w:t xml:space="preserve"> potentially discriminatory benefit designs </w:t>
      </w:r>
      <w:r w:rsidR="00B8060B">
        <w:t xml:space="preserve">were identified </w:t>
      </w:r>
      <w:r w:rsidR="00A23412">
        <w:t xml:space="preserve">within the existing </w:t>
      </w:r>
      <w:r w:rsidR="008609A5">
        <w:t>b</w:t>
      </w:r>
      <w:r w:rsidR="00A23412">
        <w:t xml:space="preserve">enchmark </w:t>
      </w:r>
      <w:r w:rsidR="008609A5">
        <w:t>p</w:t>
      </w:r>
      <w:r w:rsidR="00A23412">
        <w:t xml:space="preserve">lan. </w:t>
      </w:r>
      <w:r w:rsidR="00F767B7">
        <w:t xml:space="preserve">Federal law prohibits </w:t>
      </w:r>
      <w:r w:rsidR="00EE0241">
        <w:t>Qualified</w:t>
      </w:r>
      <w:r w:rsidR="00F767B7">
        <w:t xml:space="preserve"> Health </w:t>
      </w:r>
      <w:r w:rsidR="00BF2968">
        <w:t>P</w:t>
      </w:r>
      <w:r w:rsidR="00F767B7">
        <w:t xml:space="preserve">lans from containing any design </w:t>
      </w:r>
      <w:r w:rsidR="00EE0241">
        <w:t>benefit which could discourage enrollment of individuals with significant health needs.</w:t>
      </w:r>
      <w:r w:rsidR="004C3AB5">
        <w:rPr>
          <w:rStyle w:val="FootnoteReference"/>
        </w:rPr>
        <w:footnoteReference w:id="32"/>
      </w:r>
      <w:r w:rsidR="00BF2968">
        <w:t xml:space="preserve"> These benefits </w:t>
      </w:r>
      <w:r w:rsidR="00E34A67">
        <w:t>and the subsequent changes will not be co</w:t>
      </w:r>
      <w:r w:rsidR="00B107B0">
        <w:t xml:space="preserve">unted towards the generosity </w:t>
      </w:r>
      <w:r w:rsidR="00F63081">
        <w:t>test but</w:t>
      </w:r>
      <w:r w:rsidR="00B107B0">
        <w:t xml:space="preserve"> must be changed to comply with Federal law. </w:t>
      </w:r>
      <w:r w:rsidR="00734363">
        <w:t xml:space="preserve">The benefits to be adjusted to comply with </w:t>
      </w:r>
      <w:r w:rsidR="00237AA8">
        <w:t>nondiscrimination</w:t>
      </w:r>
      <w:r w:rsidR="00734363">
        <w:t xml:space="preserve"> requirements are as follows:</w:t>
      </w:r>
    </w:p>
    <w:p w14:paraId="1831D0BB" w14:textId="149355AB" w:rsidR="0084716A" w:rsidRDefault="00734363" w:rsidP="009F2099">
      <w:pPr>
        <w:pStyle w:val="ListParagraph"/>
        <w:numPr>
          <w:ilvl w:val="0"/>
          <w:numId w:val="16"/>
        </w:numPr>
        <w:jc w:val="both"/>
      </w:pPr>
      <w:r w:rsidRPr="009F4CFA">
        <w:rPr>
          <w:i/>
          <w:iCs/>
        </w:rPr>
        <w:t>Nutritional Counseling</w:t>
      </w:r>
      <w:r>
        <w:t xml:space="preserve"> </w:t>
      </w:r>
      <w:r w:rsidR="009F4CFA">
        <w:t>-</w:t>
      </w:r>
      <w:r>
        <w:t xml:space="preserve"> The current benefit states the benefit is unlimited for diabetics but limited to 3 for all others. The </w:t>
      </w:r>
      <w:r w:rsidR="0084716A">
        <w:t xml:space="preserve">change would remove the limitation for policyholders without diabetes. </w:t>
      </w:r>
    </w:p>
    <w:p w14:paraId="6761765E" w14:textId="77777777" w:rsidR="00746E4E" w:rsidRDefault="00734363" w:rsidP="009F2099">
      <w:pPr>
        <w:pStyle w:val="ListParagraph"/>
        <w:numPr>
          <w:ilvl w:val="0"/>
          <w:numId w:val="16"/>
        </w:numPr>
        <w:jc w:val="both"/>
      </w:pPr>
      <w:r w:rsidRPr="009F4CFA">
        <w:rPr>
          <w:i/>
          <w:iCs/>
        </w:rPr>
        <w:t>Habilitative</w:t>
      </w:r>
      <w:r w:rsidR="0084716A">
        <w:t xml:space="preserve"> </w:t>
      </w:r>
      <w:r w:rsidR="00746E4E">
        <w:t xml:space="preserve">- </w:t>
      </w:r>
      <w:r w:rsidR="0084716A">
        <w:t>The c</w:t>
      </w:r>
      <w:r>
        <w:t xml:space="preserve">urrent benefit states that the limit does not apply to </w:t>
      </w:r>
      <w:r w:rsidR="0084716A">
        <w:t xml:space="preserve">policyholders </w:t>
      </w:r>
      <w:r>
        <w:t xml:space="preserve">under </w:t>
      </w:r>
      <w:r w:rsidR="0084716A">
        <w:t xml:space="preserve">age </w:t>
      </w:r>
      <w:r>
        <w:t xml:space="preserve">21 </w:t>
      </w:r>
      <w:r w:rsidR="00746E4E">
        <w:t xml:space="preserve">for </w:t>
      </w:r>
      <w:r>
        <w:t>treatment of Autism</w:t>
      </w:r>
      <w:r w:rsidR="00746E4E">
        <w:t>. The change would</w:t>
      </w:r>
      <w:r>
        <w:t xml:space="preserve"> remove the age limit</w:t>
      </w:r>
      <w:r w:rsidR="00746E4E">
        <w:t>.</w:t>
      </w:r>
    </w:p>
    <w:p w14:paraId="1B01DA6A" w14:textId="2C9FB77B" w:rsidR="00237AA8" w:rsidRPr="00237AA8" w:rsidRDefault="00734363" w:rsidP="009F2099">
      <w:pPr>
        <w:pStyle w:val="ListParagraph"/>
        <w:numPr>
          <w:ilvl w:val="0"/>
          <w:numId w:val="16"/>
        </w:numPr>
        <w:jc w:val="both"/>
      </w:pPr>
      <w:r w:rsidRPr="009F4CFA">
        <w:rPr>
          <w:i/>
          <w:iCs/>
        </w:rPr>
        <w:t>Foot Care</w:t>
      </w:r>
      <w:r w:rsidR="00746E4E">
        <w:t xml:space="preserve"> </w:t>
      </w:r>
      <w:r w:rsidR="009F4CFA">
        <w:t>-</w:t>
      </w:r>
      <w:r w:rsidR="00746E4E">
        <w:t xml:space="preserve"> The c</w:t>
      </w:r>
      <w:r>
        <w:t>urrent benefit excludes foot care except for diabetics</w:t>
      </w:r>
      <w:r w:rsidR="00746E4E">
        <w:t xml:space="preserve">. The change would cover </w:t>
      </w:r>
      <w:r w:rsidR="00407B72">
        <w:t xml:space="preserve">foot care for all individuals. </w:t>
      </w:r>
    </w:p>
    <w:p w14:paraId="3124E222" w14:textId="6139F2CE" w:rsidR="00237AA8" w:rsidRPr="00237AA8" w:rsidRDefault="00237AA8" w:rsidP="009F2099">
      <w:pPr>
        <w:pStyle w:val="ListParagraph"/>
        <w:numPr>
          <w:ilvl w:val="0"/>
          <w:numId w:val="16"/>
        </w:numPr>
        <w:jc w:val="both"/>
      </w:pPr>
      <w:r w:rsidRPr="00237AA8">
        <w:rPr>
          <w:i/>
          <w:iCs/>
        </w:rPr>
        <w:t>Prescribed Food and Nutritional Formulae</w:t>
      </w:r>
      <w:r w:rsidR="00110281">
        <w:rPr>
          <w:i/>
          <w:iCs/>
        </w:rPr>
        <w:t xml:space="preserve"> </w:t>
      </w:r>
      <w:r w:rsidR="009F4CFA">
        <w:t xml:space="preserve">- </w:t>
      </w:r>
      <w:r w:rsidRPr="00237AA8">
        <w:t xml:space="preserve">The current benefit excludes coverage except for inherited metabolic disease; </w:t>
      </w:r>
      <w:r w:rsidR="00E24D9F">
        <w:t xml:space="preserve">to render this benefit non-discriminatory, the State </w:t>
      </w:r>
      <w:r w:rsidRPr="00237AA8">
        <w:t xml:space="preserve">could exclude </w:t>
      </w:r>
      <w:r w:rsidR="00E24D9F">
        <w:t>coverage</w:t>
      </w:r>
      <w:r w:rsidRPr="00237AA8">
        <w:t xml:space="preserve"> unless medically necessary for any condition and regardless of age</w:t>
      </w:r>
    </w:p>
    <w:p w14:paraId="6F041315" w14:textId="77777777" w:rsidR="00237AA8" w:rsidRPr="00237AA8" w:rsidRDefault="00237AA8" w:rsidP="009F2099">
      <w:pPr>
        <w:pStyle w:val="ListParagraph"/>
        <w:numPr>
          <w:ilvl w:val="1"/>
          <w:numId w:val="16"/>
        </w:numPr>
        <w:jc w:val="both"/>
      </w:pPr>
      <w:r w:rsidRPr="00237AA8">
        <w:t>This includes formulas or supplements administered through a feeding tube</w:t>
      </w:r>
    </w:p>
    <w:p w14:paraId="0A5CF994" w14:textId="2C5C6D6C" w:rsidR="00237AA8" w:rsidRDefault="00237AA8" w:rsidP="009F2099">
      <w:pPr>
        <w:pStyle w:val="ListParagraph"/>
        <w:numPr>
          <w:ilvl w:val="1"/>
          <w:numId w:val="16"/>
        </w:numPr>
        <w:jc w:val="both"/>
      </w:pPr>
      <w:r w:rsidRPr="00237AA8">
        <w:t>Also includes 100% amino acid formula, which is currently limited to children under age 5 but age limit would be removed</w:t>
      </w:r>
    </w:p>
    <w:p w14:paraId="5466A2D4" w14:textId="33AD8F86" w:rsidR="002924F9" w:rsidRDefault="002924F9" w:rsidP="009F2099">
      <w:pPr>
        <w:pStyle w:val="Heading3"/>
        <w:spacing w:before="0" w:after="240"/>
        <w:jc w:val="both"/>
      </w:pPr>
      <w:bookmarkStart w:id="25" w:name="_Toc93557872"/>
      <w:r>
        <w:t>Essential Health Benefit</w:t>
      </w:r>
      <w:r w:rsidR="00CE1FF0">
        <w:t>s</w:t>
      </w:r>
      <w:bookmarkEnd w:id="25"/>
    </w:p>
    <w:p w14:paraId="19B35543" w14:textId="6A8A8A35" w:rsidR="00637024" w:rsidRDefault="00E24D9F" w:rsidP="009F2099">
      <w:pPr>
        <w:jc w:val="both"/>
      </w:pPr>
      <w:r>
        <w:t>Based on the analysis and public process above, hearing</w:t>
      </w:r>
      <w:r w:rsidR="00CE1FF0">
        <w:t xml:space="preserve"> aids</w:t>
      </w:r>
      <w:r w:rsidR="00093F00">
        <w:t xml:space="preserve">, </w:t>
      </w:r>
      <w:r w:rsidR="00CE1FF0">
        <w:t>infertility coverage</w:t>
      </w:r>
      <w:r w:rsidR="00093F00">
        <w:t>, and medically tailored meals</w:t>
      </w:r>
      <w:r w:rsidR="00CE1FF0">
        <w:t xml:space="preserve"> were </w:t>
      </w:r>
      <w:r w:rsidR="001A0F1D">
        <w:t xml:space="preserve">further </w:t>
      </w:r>
      <w:r w:rsidR="00CE1FF0">
        <w:t>analyzed</w:t>
      </w:r>
      <w:r w:rsidR="001A0F1D">
        <w:t xml:space="preserve">, and their financial impacts modeled, </w:t>
      </w:r>
      <w:r w:rsidR="00CE1FF0">
        <w:t>for inclusion as</w:t>
      </w:r>
      <w:r w:rsidR="00093F00">
        <w:t xml:space="preserve"> new</w:t>
      </w:r>
      <w:r w:rsidR="00CE1FF0">
        <w:t xml:space="preserve"> EHBs</w:t>
      </w:r>
      <w:r w:rsidR="00093F00">
        <w:t xml:space="preserve">. </w:t>
      </w:r>
    </w:p>
    <w:p w14:paraId="55C23BC5" w14:textId="38BD2902" w:rsidR="00CE6938" w:rsidRDefault="006C53D1" w:rsidP="009F2099">
      <w:pPr>
        <w:jc w:val="both"/>
      </w:pPr>
      <w:r>
        <w:t xml:space="preserve">The hearing aid benefit </w:t>
      </w:r>
      <w:r w:rsidR="00A26A5F">
        <w:t>design was modeled on the Vermont Medicaid benefit</w:t>
      </w:r>
      <w:r w:rsidR="0004501F">
        <w:t xml:space="preserve">. </w:t>
      </w:r>
      <w:r w:rsidR="00CE4F2A">
        <w:t xml:space="preserve">The benefit would cover adult and child hearing exams and allow for hearing aids every 3 years </w:t>
      </w:r>
      <w:r w:rsidR="000E4ABF">
        <w:t xml:space="preserve">subject to </w:t>
      </w:r>
      <w:r w:rsidR="00EB5A4D">
        <w:t xml:space="preserve">medical necessity. </w:t>
      </w:r>
      <w:r w:rsidR="0000075E">
        <w:t>Only 11 states explicitly require coverage for adult hearing aids, with o</w:t>
      </w:r>
      <w:r w:rsidR="000A1837">
        <w:t xml:space="preserve">ver 36 states </w:t>
      </w:r>
      <w:r w:rsidR="0000075E">
        <w:t xml:space="preserve">requiring some level of coverage for children. </w:t>
      </w:r>
      <w:r w:rsidR="000A1837">
        <w:t xml:space="preserve"> </w:t>
      </w:r>
      <w:r w:rsidR="005615A9">
        <w:t>Many states are adjusting coverage to eliminate age barriers for coverage, which are specifically prohibited under the Affordable Care Act</w:t>
      </w:r>
      <w:r w:rsidR="00CC4A0B">
        <w:t>.</w:t>
      </w:r>
      <w:r w:rsidR="005615A9">
        <w:t xml:space="preserve"> </w:t>
      </w:r>
      <w:r w:rsidR="003C0FD9">
        <w:t xml:space="preserve">Vermont and Pennsylvania are the only two Northeast states which do not currently </w:t>
      </w:r>
      <w:r w:rsidR="001A40CA">
        <w:t xml:space="preserve">require </w:t>
      </w:r>
      <w:r w:rsidR="003C0FD9">
        <w:t xml:space="preserve">hearing aid coverage. </w:t>
      </w:r>
      <w:r w:rsidR="004C2D19">
        <w:t xml:space="preserve">It is estimated a hearing aid </w:t>
      </w:r>
      <w:r w:rsidR="001A40CA">
        <w:t xml:space="preserve">benefit </w:t>
      </w:r>
      <w:r w:rsidR="004C2D19">
        <w:t xml:space="preserve">in Vermont would </w:t>
      </w:r>
      <w:r w:rsidR="00AD6456">
        <w:t>add</w:t>
      </w:r>
      <w:r w:rsidR="004C2D19">
        <w:t xml:space="preserve"> </w:t>
      </w:r>
      <w:r w:rsidR="00AD6456">
        <w:t>an additional</w:t>
      </w:r>
      <w:r w:rsidR="004C2D19">
        <w:t xml:space="preserve"> </w:t>
      </w:r>
      <w:r w:rsidR="00CE6938" w:rsidRPr="00CE6938">
        <w:t xml:space="preserve">$0.30 to $0.60 </w:t>
      </w:r>
      <w:r w:rsidR="00CE6938">
        <w:t>per member per month (</w:t>
      </w:r>
      <w:r w:rsidR="00CE6938" w:rsidRPr="00CE6938">
        <w:t>PMPM</w:t>
      </w:r>
      <w:r w:rsidR="00CE6938">
        <w:t xml:space="preserve">) </w:t>
      </w:r>
      <w:r w:rsidR="00F37F45">
        <w:t xml:space="preserve">in average market premium. </w:t>
      </w:r>
    </w:p>
    <w:p w14:paraId="4AB16E97" w14:textId="670619CD" w:rsidR="00696690" w:rsidRPr="00CE6938" w:rsidRDefault="00BC001D" w:rsidP="009F2099">
      <w:pPr>
        <w:jc w:val="both"/>
      </w:pPr>
      <w:r>
        <w:t xml:space="preserve">An </w:t>
      </w:r>
      <w:r w:rsidR="000B1AC2">
        <w:t>infertility benefit</w:t>
      </w:r>
      <w:r>
        <w:t xml:space="preserve"> was also considered. </w:t>
      </w:r>
      <w:r w:rsidR="00F0440F">
        <w:t>Inf</w:t>
      </w:r>
      <w:r w:rsidR="000B1AC2">
        <w:t xml:space="preserve">ertility benefits are currently covered in most New England states but to varying degrees. </w:t>
      </w:r>
      <w:r>
        <w:t xml:space="preserve">Currently the </w:t>
      </w:r>
      <w:r w:rsidR="00520432">
        <w:t>Vermont</w:t>
      </w:r>
      <w:r>
        <w:t xml:space="preserve"> state employee health plan </w:t>
      </w:r>
      <w:r w:rsidR="00273625">
        <w:t>provides</w:t>
      </w:r>
      <w:r>
        <w:t xml:space="preserve"> an infertility benefit which served as the model benefit </w:t>
      </w:r>
      <w:r w:rsidR="00DE7273">
        <w:t>for the working group</w:t>
      </w:r>
      <w:r w:rsidR="00754783">
        <w:t>’</w:t>
      </w:r>
      <w:r w:rsidR="00DE7273">
        <w:t xml:space="preserve">s analysis. </w:t>
      </w:r>
      <w:r w:rsidR="00D00E79">
        <w:t xml:space="preserve">Due to the Vermont plan containing a dollar limitation, it was necessary to equate a </w:t>
      </w:r>
      <w:r w:rsidR="001B6320">
        <w:t>quantitative</w:t>
      </w:r>
      <w:r w:rsidR="00BE596B">
        <w:t xml:space="preserve"> limit for this benefit</w:t>
      </w:r>
      <w:r w:rsidR="001B6320">
        <w:t xml:space="preserve"> outside of a dollar limitation. </w:t>
      </w:r>
      <w:r w:rsidR="003462E9">
        <w:t xml:space="preserve">The benefit definition would include coverage for three cycles of IVF, including evaluation, counseling, egg preservation, and other related services. </w:t>
      </w:r>
      <w:r w:rsidR="00B655CC">
        <w:t xml:space="preserve">Adding infertility coverage </w:t>
      </w:r>
      <w:r w:rsidR="00F70C1A">
        <w:t>with that definition</w:t>
      </w:r>
      <w:r w:rsidR="00B655CC">
        <w:t xml:space="preserve"> would </w:t>
      </w:r>
      <w:r w:rsidR="00346E46">
        <w:t xml:space="preserve">add between </w:t>
      </w:r>
      <w:r w:rsidR="00780E8F">
        <w:t>$8.00 to $11.40 P</w:t>
      </w:r>
      <w:r w:rsidR="005556A9">
        <w:t xml:space="preserve">MPM </w:t>
      </w:r>
      <w:r w:rsidR="00F70C1A">
        <w:t>to</w:t>
      </w:r>
      <w:r w:rsidR="005556A9">
        <w:t xml:space="preserve"> the average market premium. </w:t>
      </w:r>
    </w:p>
    <w:p w14:paraId="28878A50" w14:textId="0C67B0B8" w:rsidR="00CB2BD4" w:rsidRDefault="00C91FBB" w:rsidP="009F2099">
      <w:pPr>
        <w:jc w:val="both"/>
      </w:pPr>
      <w:r>
        <w:lastRenderedPageBreak/>
        <w:t xml:space="preserve">Medically tailored meals would be a novel benefit as an EHB addition. </w:t>
      </w:r>
      <w:r w:rsidR="008A2F91">
        <w:t xml:space="preserve">Several variations of a medically tailored meal benefit have been analyzed. More analysis is needed to determine an appropriate benefit for the </w:t>
      </w:r>
      <w:r w:rsidR="00767823">
        <w:t xml:space="preserve">benchmark plan. A pilot program </w:t>
      </w:r>
      <w:r w:rsidR="00C34D88">
        <w:t xml:space="preserve">may be the most reasonable way to introduce such a benefit to obtain </w:t>
      </w:r>
      <w:r w:rsidR="00F70C1A">
        <w:t>Vermont-</w:t>
      </w:r>
      <w:r w:rsidR="00C34D88">
        <w:t>specific data and better understand</w:t>
      </w:r>
      <w:r w:rsidR="00FC1B88">
        <w:t xml:space="preserve"> the program</w:t>
      </w:r>
      <w:r w:rsidR="007A4FF0">
        <w:t>’</w:t>
      </w:r>
      <w:r w:rsidR="00FC1B88">
        <w:t>s</w:t>
      </w:r>
      <w:r w:rsidR="00C34D88">
        <w:t xml:space="preserve"> influence on </w:t>
      </w:r>
      <w:r w:rsidR="00007D02">
        <w:t xml:space="preserve">the specific market under consideration. </w:t>
      </w:r>
      <w:r w:rsidR="00FC1B88">
        <w:t>The c</w:t>
      </w:r>
      <w:r w:rsidR="00CA4EA5">
        <w:t xml:space="preserve">ost impact for adding medically tailored meals as an EHB </w:t>
      </w:r>
      <w:r w:rsidR="001F3043">
        <w:t xml:space="preserve">could </w:t>
      </w:r>
      <w:r w:rsidR="00F72B3B">
        <w:t xml:space="preserve">vary and </w:t>
      </w:r>
      <w:r w:rsidR="00435F9D">
        <w:t>more analysis is needed</w:t>
      </w:r>
      <w:r w:rsidR="00AE50D7">
        <w:t>.</w:t>
      </w:r>
    </w:p>
    <w:p w14:paraId="2EB91BBA" w14:textId="77777777" w:rsidR="00891B74" w:rsidRDefault="0020740E" w:rsidP="009F2099">
      <w:pPr>
        <w:pStyle w:val="Heading3"/>
        <w:jc w:val="both"/>
      </w:pPr>
      <w:bookmarkStart w:id="26" w:name="_Toc93557873"/>
      <w:r>
        <w:t>Non-Essential</w:t>
      </w:r>
      <w:r w:rsidR="007A3253">
        <w:t xml:space="preserve"> Health Benefits</w:t>
      </w:r>
      <w:bookmarkEnd w:id="26"/>
      <w:r w:rsidR="007A3253">
        <w:t xml:space="preserve"> </w:t>
      </w:r>
      <w:r w:rsidR="007D3BBE">
        <w:t xml:space="preserve"> </w:t>
      </w:r>
    </w:p>
    <w:p w14:paraId="5497401E" w14:textId="77777777" w:rsidR="00891B74" w:rsidRDefault="00891B74" w:rsidP="009F2099">
      <w:pPr>
        <w:spacing w:after="0"/>
        <w:jc w:val="both"/>
      </w:pPr>
    </w:p>
    <w:p w14:paraId="690520E0" w14:textId="2D3A2798" w:rsidR="004A2E8F" w:rsidRDefault="00781430" w:rsidP="009F2099">
      <w:pPr>
        <w:jc w:val="both"/>
      </w:pPr>
      <w:r>
        <w:t>T</w:t>
      </w:r>
      <w:r w:rsidR="00CB4BDC">
        <w:t xml:space="preserve">he working group also analyzed </w:t>
      </w:r>
      <w:r w:rsidR="00BE526A">
        <w:t>additional benefits</w:t>
      </w:r>
      <w:r w:rsidR="005D791E">
        <w:t xml:space="preserve"> which are not eligible to be EHBs. </w:t>
      </w:r>
      <w:r w:rsidR="00DE6F32">
        <w:t xml:space="preserve">Those benefits included adult </w:t>
      </w:r>
      <w:r w:rsidR="0054060E">
        <w:t xml:space="preserve">dental and </w:t>
      </w:r>
      <w:r w:rsidR="00DE6F32">
        <w:t>vision</w:t>
      </w:r>
      <w:r w:rsidR="0054060E">
        <w:t>.</w:t>
      </w:r>
      <w:r w:rsidR="005D3A32">
        <w:t xml:space="preserve"> The benefits were priced to inform any future </w:t>
      </w:r>
      <w:r w:rsidR="00B75183">
        <w:t xml:space="preserve">addition of these benefits </w:t>
      </w:r>
      <w:r w:rsidR="00E754BB">
        <w:t xml:space="preserve">through legislative action. </w:t>
      </w:r>
    </w:p>
    <w:p w14:paraId="29844D6E" w14:textId="4C2C0E31" w:rsidR="0020740E" w:rsidRDefault="00494CCC" w:rsidP="009F2099">
      <w:pPr>
        <w:jc w:val="both"/>
      </w:pPr>
      <w:r>
        <w:t xml:space="preserve">Cost estimates for both a preventive dental and denture benefit </w:t>
      </w:r>
      <w:r w:rsidR="00A95C24">
        <w:t xml:space="preserve">were calculated. </w:t>
      </w:r>
      <w:r w:rsidR="00437C03">
        <w:t xml:space="preserve">The </w:t>
      </w:r>
      <w:r w:rsidR="00F321BF">
        <w:t xml:space="preserve">preventive benefit including </w:t>
      </w:r>
      <w:r w:rsidR="00344F44">
        <w:t xml:space="preserve">a </w:t>
      </w:r>
      <w:r w:rsidR="007B01BC">
        <w:t xml:space="preserve">cleaning </w:t>
      </w:r>
      <w:r w:rsidR="00344F44">
        <w:t xml:space="preserve">and exam every 6 months </w:t>
      </w:r>
      <w:r w:rsidR="006661D7">
        <w:t>and adult dentures</w:t>
      </w:r>
      <w:r w:rsidR="007B01BC">
        <w:t xml:space="preserve"> would increase allowed costs between 1.3% and</w:t>
      </w:r>
      <w:r w:rsidR="00ED7CD9">
        <w:t xml:space="preserve"> </w:t>
      </w:r>
      <w:r w:rsidR="00213544">
        <w:t>1.9%</w:t>
      </w:r>
      <w:r w:rsidR="003B4ADF">
        <w:t xml:space="preserve">. </w:t>
      </w:r>
    </w:p>
    <w:p w14:paraId="58239DA6" w14:textId="67BBCB07" w:rsidR="00044144" w:rsidRDefault="00BF0B44" w:rsidP="009F2099">
      <w:pPr>
        <w:jc w:val="both"/>
      </w:pPr>
      <w:r>
        <w:t xml:space="preserve">An adult vision benefit including an eye exam and eyeglasses or contacts every two years </w:t>
      </w:r>
      <w:r w:rsidR="00A51BAF">
        <w:t xml:space="preserve">would </w:t>
      </w:r>
      <w:r w:rsidR="00957F0B">
        <w:t>result in paid costs between 0.6% and 1.0%</w:t>
      </w:r>
      <w:r w:rsidR="00E02BA3">
        <w:t xml:space="preserve"> depending on limits and cost sharing applied. </w:t>
      </w:r>
    </w:p>
    <w:p w14:paraId="29854D98" w14:textId="6EE8E40B" w:rsidR="00ED7CD9" w:rsidRDefault="008A5CD9" w:rsidP="009F2099">
      <w:pPr>
        <w:jc w:val="both"/>
      </w:pPr>
      <w:r>
        <w:t xml:space="preserve">In addition to considering the above benefits, </w:t>
      </w:r>
      <w:r w:rsidR="00985871">
        <w:t xml:space="preserve">the working group looked at adding </w:t>
      </w:r>
      <w:r w:rsidR="00901665">
        <w:t>two primary care office visits</w:t>
      </w:r>
      <w:r w:rsidR="00BF646B">
        <w:t xml:space="preserve"> without member cost-sharing</w:t>
      </w:r>
      <w:r w:rsidR="00901665">
        <w:t xml:space="preserve">. </w:t>
      </w:r>
      <w:r w:rsidR="00A25ED5">
        <w:t xml:space="preserve">Because primary care visits are </w:t>
      </w:r>
      <w:r w:rsidR="006A1C22">
        <w:t xml:space="preserve">already covered in </w:t>
      </w:r>
      <w:r w:rsidR="00F854D1">
        <w:t>Vermont’s</w:t>
      </w:r>
      <w:r w:rsidR="006A1C22">
        <w:t xml:space="preserve"> EHB Benchmark Plan, </w:t>
      </w:r>
      <w:r w:rsidR="00F854D1">
        <w:t>adding</w:t>
      </w:r>
      <w:r w:rsidR="00901665">
        <w:t xml:space="preserve"> </w:t>
      </w:r>
      <w:r w:rsidR="00BF646B">
        <w:t xml:space="preserve">the benefit would constitute </w:t>
      </w:r>
      <w:r w:rsidR="004D088F">
        <w:t xml:space="preserve">an adjustment to </w:t>
      </w:r>
      <w:r w:rsidR="00901665">
        <w:t>cost</w:t>
      </w:r>
      <w:r w:rsidR="004D088F">
        <w:t>-</w:t>
      </w:r>
      <w:r w:rsidR="00901665">
        <w:t xml:space="preserve">sharing </w:t>
      </w:r>
      <w:r w:rsidR="004D088F">
        <w:t xml:space="preserve">that could be </w:t>
      </w:r>
      <w:r w:rsidR="00C50013">
        <w:t>implemented in the QHP design process</w:t>
      </w:r>
      <w:r w:rsidR="00901665">
        <w:t xml:space="preserve">. </w:t>
      </w:r>
      <w:r w:rsidR="00073E91">
        <w:t xml:space="preserve">Adding first dollar coverage for two primary care visits would also require the coverage for </w:t>
      </w:r>
      <w:r w:rsidR="00FA6E95">
        <w:t xml:space="preserve">non-specialist </w:t>
      </w:r>
      <w:r w:rsidR="00073E91">
        <w:t>mental health and substance use disorder vi</w:t>
      </w:r>
      <w:r w:rsidR="006C5EF1">
        <w:t xml:space="preserve">sits. </w:t>
      </w:r>
      <w:r w:rsidR="00635154">
        <w:t xml:space="preserve">Changing </w:t>
      </w:r>
      <w:r w:rsidR="00D401EC">
        <w:t xml:space="preserve">cost share for a benefit has an impact on the actuarial values </w:t>
      </w:r>
      <w:r w:rsidR="00E63263">
        <w:t xml:space="preserve">of </w:t>
      </w:r>
      <w:r w:rsidR="000F331A">
        <w:t xml:space="preserve">plans and </w:t>
      </w:r>
      <w:r w:rsidR="003E41D6">
        <w:t xml:space="preserve">would require the premiums or cost sharing for other services to be increased to offset the impact to the actuarial value. </w:t>
      </w:r>
    </w:p>
    <w:p w14:paraId="0122FF75" w14:textId="434E072F" w:rsidR="00884410" w:rsidRPr="00884410" w:rsidRDefault="00B465CD" w:rsidP="00884410">
      <w:pPr>
        <w:pStyle w:val="Heading1"/>
        <w:spacing w:line="360" w:lineRule="auto"/>
      </w:pPr>
      <w:bookmarkStart w:id="27" w:name="_Toc93557874"/>
      <w:r>
        <w:t>Conclusion</w:t>
      </w:r>
      <w:bookmarkEnd w:id="27"/>
      <w:r>
        <w:t xml:space="preserve"> </w:t>
      </w:r>
    </w:p>
    <w:p w14:paraId="44BBDB7A" w14:textId="114473D7" w:rsidR="00506EC3" w:rsidRPr="0020740E" w:rsidRDefault="00FB694B" w:rsidP="009F2099">
      <w:pPr>
        <w:jc w:val="both"/>
      </w:pPr>
      <w:r>
        <w:t xml:space="preserve">After considering several benefits, </w:t>
      </w:r>
      <w:r w:rsidR="004B22A9">
        <w:t xml:space="preserve">the Department determined that </w:t>
      </w:r>
      <w:r w:rsidR="000F1E9A">
        <w:t>hearing aids, infertility</w:t>
      </w:r>
      <w:r w:rsidR="00965380">
        <w:t xml:space="preserve"> services, and </w:t>
      </w:r>
      <w:r w:rsidR="0074327A">
        <w:t>medically tailored meals</w:t>
      </w:r>
      <w:r w:rsidR="00965380">
        <w:t xml:space="preserve"> </w:t>
      </w:r>
      <w:r w:rsidR="00A84941">
        <w:t xml:space="preserve">could be added to the </w:t>
      </w:r>
      <w:r w:rsidR="00157519">
        <w:t xml:space="preserve">EHB benchmark plan through the federal process. Further research is needed to determine </w:t>
      </w:r>
      <w:r w:rsidR="00EF1B6B">
        <w:t>an appropriate benefit design for</w:t>
      </w:r>
      <w:r w:rsidR="00524A0E">
        <w:t xml:space="preserve"> medically tailored meals. </w:t>
      </w:r>
      <w:r w:rsidR="001F14D6">
        <w:t>When adding benefits</w:t>
      </w:r>
      <w:r w:rsidR="00A87F0D">
        <w:t>,</w:t>
      </w:r>
      <w:r w:rsidR="001F14D6">
        <w:t xml:space="preserve"> consideration must be given to cost impact and </w:t>
      </w:r>
      <w:r w:rsidR="00952C6A">
        <w:t xml:space="preserve">the </w:t>
      </w:r>
      <w:r w:rsidR="001F14D6">
        <w:t>overall benefit to the impacted population to ensure that Vermont’s benchmark plan is affordable</w:t>
      </w:r>
      <w:r w:rsidR="00B979A8">
        <w:t>, accessible</w:t>
      </w:r>
      <w:r w:rsidR="004B22A9">
        <w:t>,</w:t>
      </w:r>
      <w:r w:rsidR="00B979A8">
        <w:t xml:space="preserve"> and promotes equity among diverse health needs and populations in Vermont.</w:t>
      </w:r>
    </w:p>
    <w:sectPr w:rsidR="00506EC3" w:rsidRPr="0020740E" w:rsidSect="00E944CA">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8FD4A" w14:textId="77777777" w:rsidR="00704DA8" w:rsidRDefault="00704DA8" w:rsidP="00253012">
      <w:pPr>
        <w:spacing w:after="0" w:line="240" w:lineRule="auto"/>
      </w:pPr>
      <w:r>
        <w:separator/>
      </w:r>
    </w:p>
  </w:endnote>
  <w:endnote w:type="continuationSeparator" w:id="0">
    <w:p w14:paraId="750840BA" w14:textId="77777777" w:rsidR="00704DA8" w:rsidRDefault="00704DA8" w:rsidP="00253012">
      <w:pPr>
        <w:spacing w:after="0" w:line="240" w:lineRule="auto"/>
      </w:pPr>
      <w:r>
        <w:continuationSeparator/>
      </w:r>
    </w:p>
  </w:endnote>
  <w:endnote w:type="continuationNotice" w:id="1">
    <w:p w14:paraId="40AA70C9" w14:textId="77777777" w:rsidR="00704DA8" w:rsidRDefault="00704D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B68F" w14:textId="77777777" w:rsidR="003B5FFC" w:rsidRDefault="003B5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Pr>
    <w:tblGrid>
      <w:gridCol w:w="4117"/>
      <w:gridCol w:w="1589"/>
      <w:gridCol w:w="3654"/>
    </w:tblGrid>
    <w:tr w:rsidR="00723F8A" w:rsidRPr="00723F8A" w14:paraId="0441BEA2" w14:textId="77777777" w:rsidTr="003B5FFC">
      <w:trPr>
        <w:cantSplit/>
        <w:trHeight w:val="633"/>
        <w:tblHeader/>
      </w:trPr>
      <w:tc>
        <w:tcPr>
          <w:tcW w:w="4248" w:type="dxa"/>
        </w:tcPr>
        <w:p w14:paraId="20BFEE65" w14:textId="77777777" w:rsidR="00723F8A" w:rsidRPr="00723F8A" w:rsidRDefault="00723F8A" w:rsidP="00723F8A">
          <w:pPr>
            <w:rPr>
              <w:rFonts w:ascii="Palatino Linotype" w:eastAsia="Times New Roman" w:hAnsi="Palatino Linotype" w:cs="Calibri"/>
              <w:bCs/>
              <w:sz w:val="20"/>
            </w:rPr>
          </w:pPr>
        </w:p>
        <w:p w14:paraId="7E295801" w14:textId="77777777" w:rsidR="00723F8A" w:rsidRPr="00723F8A" w:rsidRDefault="00723F8A" w:rsidP="00723F8A">
          <w:pPr>
            <w:jc w:val="right"/>
            <w:rPr>
              <w:rFonts w:ascii="Palatino Linotype" w:eastAsia="Times New Roman" w:hAnsi="Palatino Linotype" w:cs="Calibri"/>
              <w:bCs/>
              <w:sz w:val="20"/>
            </w:rPr>
          </w:pPr>
        </w:p>
      </w:tc>
      <w:tc>
        <w:tcPr>
          <w:tcW w:w="1620" w:type="dxa"/>
        </w:tcPr>
        <w:p w14:paraId="1322165D" w14:textId="77777777" w:rsidR="00723F8A" w:rsidRPr="00723F8A" w:rsidRDefault="00723F8A" w:rsidP="00723F8A">
          <w:pPr>
            <w:jc w:val="center"/>
            <w:rPr>
              <w:rFonts w:ascii="Palatino Linotype" w:eastAsia="Times New Roman" w:hAnsi="Palatino Linotype" w:cs="Calibri"/>
              <w:bCs/>
              <w:sz w:val="20"/>
            </w:rPr>
          </w:pPr>
          <w:r w:rsidRPr="00723F8A">
            <w:rPr>
              <w:rFonts w:ascii="Palatino Linotype" w:eastAsia="Times New Roman" w:hAnsi="Palatino Linotype" w:cs="Calibri"/>
              <w:bCs/>
              <w:sz w:val="20"/>
            </w:rPr>
            <w:t xml:space="preserve">Page </w:t>
          </w:r>
          <w:r w:rsidRPr="00723F8A">
            <w:rPr>
              <w:rFonts w:ascii="Palatino Linotype" w:eastAsia="Times New Roman" w:hAnsi="Palatino Linotype" w:cs="Calibri"/>
              <w:b/>
              <w:bCs/>
              <w:sz w:val="20"/>
            </w:rPr>
            <w:fldChar w:fldCharType="begin"/>
          </w:r>
          <w:r w:rsidRPr="00723F8A">
            <w:rPr>
              <w:rFonts w:ascii="Palatino Linotype" w:eastAsia="Times New Roman" w:hAnsi="Palatino Linotype" w:cs="Calibri"/>
              <w:b/>
              <w:bCs/>
              <w:sz w:val="20"/>
            </w:rPr>
            <w:instrText xml:space="preserve"> PAGE  \* Arabic  \* MERGEFORMAT </w:instrText>
          </w:r>
          <w:r w:rsidRPr="00723F8A">
            <w:rPr>
              <w:rFonts w:ascii="Palatino Linotype" w:eastAsia="Times New Roman" w:hAnsi="Palatino Linotype" w:cs="Calibri"/>
              <w:b/>
              <w:bCs/>
              <w:sz w:val="20"/>
            </w:rPr>
            <w:fldChar w:fldCharType="separate"/>
          </w:r>
          <w:r w:rsidRPr="00723F8A">
            <w:rPr>
              <w:rFonts w:ascii="Palatino Linotype" w:eastAsia="Times New Roman" w:hAnsi="Palatino Linotype" w:cs="Calibri"/>
              <w:b/>
              <w:bCs/>
              <w:noProof/>
              <w:sz w:val="20"/>
            </w:rPr>
            <w:t>2</w:t>
          </w:r>
          <w:r w:rsidRPr="00723F8A">
            <w:rPr>
              <w:rFonts w:ascii="Palatino Linotype" w:eastAsia="Times New Roman" w:hAnsi="Palatino Linotype" w:cs="Calibri"/>
              <w:b/>
              <w:bCs/>
              <w:sz w:val="20"/>
            </w:rPr>
            <w:fldChar w:fldCharType="end"/>
          </w:r>
          <w:r w:rsidRPr="00723F8A">
            <w:rPr>
              <w:rFonts w:ascii="Palatino Linotype" w:eastAsia="Times New Roman" w:hAnsi="Palatino Linotype" w:cs="Calibri"/>
              <w:bCs/>
              <w:sz w:val="20"/>
            </w:rPr>
            <w:t xml:space="preserve"> of </w:t>
          </w:r>
          <w:r w:rsidRPr="00723F8A">
            <w:rPr>
              <w:rFonts w:ascii="Palatino Linotype" w:eastAsia="Times New Roman" w:hAnsi="Palatino Linotype" w:cs="Calibri"/>
              <w:bCs/>
              <w:sz w:val="20"/>
            </w:rPr>
            <w:fldChar w:fldCharType="begin"/>
          </w:r>
          <w:r w:rsidRPr="00723F8A">
            <w:rPr>
              <w:rFonts w:ascii="Palatino Linotype" w:eastAsia="Times New Roman" w:hAnsi="Palatino Linotype" w:cs="Calibri"/>
              <w:bCs/>
              <w:sz w:val="20"/>
            </w:rPr>
            <w:instrText xml:space="preserve"> NUMPAGES  \* Arabic  \* MERGEFORMAT </w:instrText>
          </w:r>
          <w:r w:rsidRPr="00723F8A">
            <w:rPr>
              <w:rFonts w:ascii="Palatino Linotype" w:eastAsia="Times New Roman" w:hAnsi="Palatino Linotype" w:cs="Calibri"/>
              <w:bCs/>
              <w:sz w:val="20"/>
            </w:rPr>
            <w:fldChar w:fldCharType="separate"/>
          </w:r>
          <w:r w:rsidRPr="00723F8A">
            <w:rPr>
              <w:rFonts w:ascii="Palatino Linotype" w:eastAsia="Times New Roman" w:hAnsi="Palatino Linotype" w:cs="Calibri"/>
              <w:b/>
              <w:bCs/>
              <w:noProof/>
              <w:sz w:val="20"/>
            </w:rPr>
            <w:t>2</w:t>
          </w:r>
          <w:r w:rsidRPr="00723F8A">
            <w:rPr>
              <w:rFonts w:ascii="Palatino Linotype" w:eastAsia="Times New Roman" w:hAnsi="Palatino Linotype" w:cs="Calibri"/>
              <w:b/>
              <w:bCs/>
              <w:noProof/>
              <w:sz w:val="20"/>
            </w:rPr>
            <w:fldChar w:fldCharType="end"/>
          </w:r>
        </w:p>
      </w:tc>
      <w:tc>
        <w:tcPr>
          <w:tcW w:w="3708" w:type="dxa"/>
        </w:tcPr>
        <w:p w14:paraId="1DC0B08C" w14:textId="77777777" w:rsidR="00723F8A" w:rsidRPr="00723F8A" w:rsidRDefault="00723F8A" w:rsidP="00723F8A">
          <w:pPr>
            <w:jc w:val="right"/>
            <w:rPr>
              <w:rFonts w:ascii="Palatino Linotype" w:eastAsia="Times New Roman" w:hAnsi="Palatino Linotype" w:cs="Calibri"/>
              <w:bCs/>
              <w:sz w:val="20"/>
              <w:szCs w:val="18"/>
            </w:rPr>
          </w:pPr>
          <w:r w:rsidRPr="00723F8A">
            <w:rPr>
              <w:rFonts w:ascii="Palatino Linotype" w:eastAsia="Times New Roman" w:hAnsi="Palatino Linotype" w:cs="Calibri"/>
              <w:bCs/>
              <w:noProof/>
              <w:sz w:val="20"/>
            </w:rPr>
            <w:drawing>
              <wp:inline distT="0" distB="0" distL="0" distR="0" wp14:anchorId="693B032C" wp14:editId="17F5A347">
                <wp:extent cx="1152889" cy="274320"/>
                <wp:effectExtent l="0" t="0" r="9525" b="0"/>
                <wp:docPr id="5"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152889" cy="274320"/>
                        </a:xfrm>
                        <a:prstGeom prst="rect">
                          <a:avLst/>
                        </a:prstGeom>
                      </pic:spPr>
                    </pic:pic>
                  </a:graphicData>
                </a:graphic>
              </wp:inline>
            </w:drawing>
          </w:r>
        </w:p>
      </w:tc>
    </w:tr>
  </w:tbl>
  <w:p w14:paraId="1B419023" w14:textId="77777777" w:rsidR="00723F8A" w:rsidRDefault="00723F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7F7D" w14:textId="77777777" w:rsidR="003B5FFC" w:rsidRDefault="003B5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C5444" w14:textId="77777777" w:rsidR="00704DA8" w:rsidRDefault="00704DA8" w:rsidP="00253012">
      <w:pPr>
        <w:spacing w:after="0" w:line="240" w:lineRule="auto"/>
      </w:pPr>
      <w:r>
        <w:separator/>
      </w:r>
    </w:p>
  </w:footnote>
  <w:footnote w:type="continuationSeparator" w:id="0">
    <w:p w14:paraId="52053F75" w14:textId="77777777" w:rsidR="00704DA8" w:rsidRDefault="00704DA8" w:rsidP="00253012">
      <w:pPr>
        <w:spacing w:after="0" w:line="240" w:lineRule="auto"/>
      </w:pPr>
      <w:r>
        <w:continuationSeparator/>
      </w:r>
    </w:p>
  </w:footnote>
  <w:footnote w:type="continuationNotice" w:id="1">
    <w:p w14:paraId="423F2560" w14:textId="77777777" w:rsidR="00704DA8" w:rsidRDefault="00704DA8">
      <w:pPr>
        <w:spacing w:after="0" w:line="240" w:lineRule="auto"/>
      </w:pPr>
    </w:p>
  </w:footnote>
  <w:footnote w:id="2">
    <w:p w14:paraId="2D0B99AD" w14:textId="41A61806" w:rsidR="0065032C" w:rsidRDefault="0065032C">
      <w:pPr>
        <w:pStyle w:val="FootnoteText"/>
      </w:pPr>
      <w:r>
        <w:rPr>
          <w:rStyle w:val="FootnoteReference"/>
        </w:rPr>
        <w:footnoteRef/>
      </w:r>
      <w:r>
        <w:t xml:space="preserve"> </w:t>
      </w:r>
      <w:r w:rsidR="00320F43">
        <w:t xml:space="preserve">Act </w:t>
      </w:r>
      <w:r w:rsidR="00E86ED6">
        <w:t>74 of 2021</w:t>
      </w:r>
      <w:r w:rsidR="001859A8">
        <w:t>, Sec.</w:t>
      </w:r>
      <w:r w:rsidR="001859A8" w:rsidRPr="001859A8">
        <w:t xml:space="preserve"> </w:t>
      </w:r>
      <w:r w:rsidR="001859A8">
        <w:t>E.227</w:t>
      </w:r>
      <w:r w:rsidR="004004CB">
        <w:t xml:space="preserve">, </w:t>
      </w:r>
      <w:r w:rsidR="004004CB">
        <w:rPr>
          <w:i/>
          <w:iCs/>
        </w:rPr>
        <w:t>available at</w:t>
      </w:r>
      <w:r w:rsidR="001859A8">
        <w:t xml:space="preserve"> </w:t>
      </w:r>
      <w:hyperlink r:id="rId1" w:history="1">
        <w:r w:rsidR="00461937" w:rsidRPr="00E92EAB">
          <w:rPr>
            <w:rStyle w:val="Hyperlink"/>
          </w:rPr>
          <w:t>https://legislature.vermont.gov/Documents/2022/Docs/ACTS/ACT074/ACT074%20As%20Enacted.pdf</w:t>
        </w:r>
      </w:hyperlink>
      <w:r w:rsidR="00BC040D">
        <w:t xml:space="preserve">. </w:t>
      </w:r>
    </w:p>
  </w:footnote>
  <w:footnote w:id="3">
    <w:p w14:paraId="6EA4EB27" w14:textId="4D17529B" w:rsidR="005B2133" w:rsidRDefault="005B2133">
      <w:pPr>
        <w:pStyle w:val="FootnoteText"/>
      </w:pPr>
      <w:r>
        <w:rPr>
          <w:rStyle w:val="FootnoteReference"/>
        </w:rPr>
        <w:footnoteRef/>
      </w:r>
      <w:r>
        <w:t xml:space="preserve"> </w:t>
      </w:r>
      <w:r w:rsidR="001567D9" w:rsidRPr="001567D9">
        <w:t>Patient Protection and Affordable Care Act; HHS</w:t>
      </w:r>
      <w:r>
        <w:t xml:space="preserve"> </w:t>
      </w:r>
      <w:r w:rsidR="00E80C25" w:rsidRPr="00E80C25">
        <w:t>Notice of Benefit and Payment Parameters for 2019</w:t>
      </w:r>
      <w:r w:rsidR="00021B2B">
        <w:t xml:space="preserve">, </w:t>
      </w:r>
      <w:r w:rsidR="00447EA0">
        <w:t>83 F.R. 16930</w:t>
      </w:r>
      <w:r w:rsidR="00D61A39">
        <w:t xml:space="preserve"> (Apr. 17, 2018), </w:t>
      </w:r>
      <w:r w:rsidR="00D61A39">
        <w:rPr>
          <w:i/>
          <w:iCs/>
        </w:rPr>
        <w:t xml:space="preserve">available at </w:t>
      </w:r>
      <w:hyperlink r:id="rId2" w:history="1">
        <w:r w:rsidR="008C52FD" w:rsidRPr="00494C45">
          <w:rPr>
            <w:rStyle w:val="Hyperlink"/>
          </w:rPr>
          <w:t>https://www.federalregister.gov/documents/2018/04/17/2018-07355/patient-protection-and-affordable-care-act-hhs-notice-of-benefit-and-payment-parameters-for-2019</w:t>
        </w:r>
      </w:hyperlink>
      <w:r w:rsidR="00D61A39">
        <w:t xml:space="preserve">. </w:t>
      </w:r>
    </w:p>
  </w:footnote>
  <w:footnote w:id="4">
    <w:p w14:paraId="016BD230" w14:textId="6F557E4A" w:rsidR="002F5645" w:rsidRDefault="002F5645" w:rsidP="002F5645">
      <w:r>
        <w:rPr>
          <w:rStyle w:val="FootnoteReference"/>
        </w:rPr>
        <w:footnoteRef/>
      </w:r>
      <w:r w:rsidR="00BB3E80">
        <w:t xml:space="preserve"> </w:t>
      </w:r>
      <w:r w:rsidR="00BB3E80" w:rsidRPr="006A4A57">
        <w:rPr>
          <w:i/>
          <w:sz w:val="20"/>
          <w:szCs w:val="20"/>
        </w:rPr>
        <w:t xml:space="preserve">See </w:t>
      </w:r>
      <w:r w:rsidR="00D81CDE" w:rsidRPr="006A4A57">
        <w:rPr>
          <w:sz w:val="20"/>
          <w:szCs w:val="20"/>
        </w:rPr>
        <w:t xml:space="preserve">45 C.F.R. </w:t>
      </w:r>
      <w:r w:rsidR="00AC63DC" w:rsidRPr="006A4A57">
        <w:rPr>
          <w:sz w:val="20"/>
          <w:szCs w:val="20"/>
        </w:rPr>
        <w:t>§</w:t>
      </w:r>
      <w:r w:rsidR="00AC63DC">
        <w:rPr>
          <w:sz w:val="20"/>
          <w:szCs w:val="20"/>
        </w:rPr>
        <w:t> </w:t>
      </w:r>
      <w:r w:rsidR="00D81CDE" w:rsidRPr="006A4A57">
        <w:rPr>
          <w:sz w:val="20"/>
          <w:szCs w:val="20"/>
        </w:rPr>
        <w:t>156.100</w:t>
      </w:r>
      <w:r w:rsidR="00A94D02" w:rsidRPr="006A4A57">
        <w:rPr>
          <w:sz w:val="20"/>
          <w:szCs w:val="20"/>
        </w:rPr>
        <w:t xml:space="preserve">, </w:t>
      </w:r>
      <w:r w:rsidR="00A94D02" w:rsidRPr="006A4A57">
        <w:rPr>
          <w:i/>
          <w:sz w:val="20"/>
          <w:szCs w:val="20"/>
        </w:rPr>
        <w:t xml:space="preserve">available at </w:t>
      </w:r>
      <w:hyperlink r:id="rId3" w:history="1">
        <w:r w:rsidRPr="006A4A57">
          <w:rPr>
            <w:rStyle w:val="Hyperlink"/>
            <w:sz w:val="20"/>
            <w:szCs w:val="20"/>
          </w:rPr>
          <w:t>https://www.govinfo.gov/content/pkg/CFR-2013-title45-vol1/pdf/CFR-2013-title45-vol1-sec156-100.pdf</w:t>
        </w:r>
      </w:hyperlink>
      <w:r w:rsidR="00FD66AE" w:rsidRPr="006A4A57">
        <w:rPr>
          <w:sz w:val="20"/>
          <w:szCs w:val="20"/>
        </w:rPr>
        <w:t>.</w:t>
      </w:r>
      <w:r w:rsidR="00FD66AE">
        <w:t xml:space="preserve"> </w:t>
      </w:r>
    </w:p>
    <w:p w14:paraId="206B3728" w14:textId="77777777" w:rsidR="002F5645" w:rsidRDefault="002F5645" w:rsidP="002F5645">
      <w:pPr>
        <w:pStyle w:val="CommentText"/>
      </w:pPr>
      <w:r>
        <w:t xml:space="preserve"> </w:t>
      </w:r>
    </w:p>
    <w:p w14:paraId="4C2FCA74" w14:textId="77777777" w:rsidR="002F5645" w:rsidRDefault="002F5645" w:rsidP="002F5645">
      <w:pPr>
        <w:pStyle w:val="FootnoteText"/>
      </w:pPr>
    </w:p>
  </w:footnote>
  <w:footnote w:id="5">
    <w:p w14:paraId="61CB8B8D" w14:textId="77777777" w:rsidR="00830A98" w:rsidRDefault="00556E60" w:rsidP="00830A98">
      <w:pPr>
        <w:pStyle w:val="FootnoteText"/>
      </w:pPr>
      <w:r>
        <w:rPr>
          <w:rStyle w:val="FootnoteReference"/>
        </w:rPr>
        <w:footnoteRef/>
      </w:r>
      <w:r w:rsidR="00DA22F3">
        <w:t xml:space="preserve">President’s Council of Advisors on Science and Technology, Presentation, </w:t>
      </w:r>
      <w:r w:rsidR="00830A98">
        <w:t>Aging America &amp; Hearing Loss:</w:t>
      </w:r>
    </w:p>
    <w:p w14:paraId="3B6C7F87" w14:textId="294F460F" w:rsidR="00556E60" w:rsidRDefault="00830A98" w:rsidP="00556E60">
      <w:pPr>
        <w:pStyle w:val="FootnoteText"/>
      </w:pPr>
      <w:r>
        <w:t xml:space="preserve">Imperative of Improved Hearing Technologies (Oct. 2015), </w:t>
      </w:r>
      <w:r w:rsidR="004F62BE">
        <w:rPr>
          <w:i/>
          <w:iCs/>
        </w:rPr>
        <w:t>available</w:t>
      </w:r>
      <w:r>
        <w:rPr>
          <w:i/>
          <w:iCs/>
        </w:rPr>
        <w:t xml:space="preserve"> at</w:t>
      </w:r>
      <w:hyperlink r:id="rId4" w:history="1">
        <w:r w:rsidRPr="00830A98">
          <w:rPr>
            <w:rStyle w:val="Hyperlink"/>
          </w:rPr>
          <w:t>https://obamawhitehouse.archives.gov/sites/default/files/microsites/ostp/PCAST/PCAST%20hearing%20letter%20report.pdf</w:t>
        </w:r>
      </w:hyperlink>
      <w:r>
        <w:t xml:space="preserve">. </w:t>
      </w:r>
      <w:r w:rsidR="00556E60">
        <w:t xml:space="preserve"> </w:t>
      </w:r>
    </w:p>
  </w:footnote>
  <w:footnote w:id="6">
    <w:p w14:paraId="4030A321" w14:textId="08887151" w:rsidR="004E1E99" w:rsidRDefault="004E1E99">
      <w:pPr>
        <w:pStyle w:val="FootnoteText"/>
      </w:pPr>
      <w:r>
        <w:rPr>
          <w:rStyle w:val="FootnoteReference"/>
        </w:rPr>
        <w:footnoteRef/>
      </w:r>
      <w:r>
        <w:t xml:space="preserve"> </w:t>
      </w:r>
      <w:r w:rsidR="007E429E" w:rsidRPr="6C947803">
        <w:rPr>
          <w:rFonts w:ascii="Calibri" w:eastAsia="Calibri" w:hAnsi="Calibri" w:cs="Calibri"/>
        </w:rPr>
        <w:t>Center</w:t>
      </w:r>
      <w:r w:rsidR="007E429E">
        <w:rPr>
          <w:rFonts w:ascii="Calibri" w:eastAsia="Calibri" w:hAnsi="Calibri" w:cs="Calibri"/>
        </w:rPr>
        <w:t>s</w:t>
      </w:r>
      <w:r w:rsidR="007E429E" w:rsidRPr="6C947803">
        <w:rPr>
          <w:rFonts w:ascii="Calibri" w:eastAsia="Calibri" w:hAnsi="Calibri" w:cs="Calibri"/>
        </w:rPr>
        <w:t xml:space="preserve"> for Disease Control and Prevention</w:t>
      </w:r>
      <w:r w:rsidR="007E429E">
        <w:rPr>
          <w:rFonts w:ascii="Calibri" w:eastAsia="Calibri" w:hAnsi="Calibri" w:cs="Calibri"/>
        </w:rPr>
        <w:t xml:space="preserve">, Health Report, </w:t>
      </w:r>
      <w:r w:rsidR="007E429E" w:rsidRPr="6C947803">
        <w:rPr>
          <w:rFonts w:ascii="Calibri" w:eastAsia="Calibri" w:hAnsi="Calibri" w:cs="Calibri"/>
        </w:rPr>
        <w:t xml:space="preserve">Hearing Loss in Children </w:t>
      </w:r>
      <w:r w:rsidR="007E429E">
        <w:rPr>
          <w:rFonts w:ascii="Calibri" w:eastAsia="Calibri" w:hAnsi="Calibri" w:cs="Calibri"/>
        </w:rPr>
        <w:t>(</w:t>
      </w:r>
      <w:r w:rsidR="007E429E" w:rsidRPr="6C947803">
        <w:rPr>
          <w:rFonts w:ascii="Calibri" w:eastAsia="Calibri" w:hAnsi="Calibri" w:cs="Calibri"/>
        </w:rPr>
        <w:t>2021</w:t>
      </w:r>
      <w:r w:rsidR="007E429E">
        <w:rPr>
          <w:rFonts w:ascii="Calibri" w:eastAsia="Calibri" w:hAnsi="Calibri" w:cs="Calibri"/>
        </w:rPr>
        <w:t xml:space="preserve">), </w:t>
      </w:r>
      <w:r w:rsidR="007E429E">
        <w:rPr>
          <w:rFonts w:ascii="Calibri" w:eastAsia="Calibri" w:hAnsi="Calibri" w:cs="Calibri"/>
          <w:i/>
          <w:iCs/>
        </w:rPr>
        <w:t>available at</w:t>
      </w:r>
      <w:r w:rsidR="005E0BF2">
        <w:rPr>
          <w:rFonts w:ascii="Calibri" w:eastAsia="Calibri" w:hAnsi="Calibri" w:cs="Calibri"/>
        </w:rPr>
        <w:t xml:space="preserve"> </w:t>
      </w:r>
      <w:hyperlink r:id="rId5" w:history="1">
        <w:r w:rsidRPr="00A313B9">
          <w:rPr>
            <w:rStyle w:val="Hyperlink"/>
          </w:rPr>
          <w:t>https://www.cdc.gov/ncbddd/hearingloss/index.html</w:t>
        </w:r>
      </w:hyperlink>
      <w:r w:rsidR="005E0BF2">
        <w:rPr>
          <w:rStyle w:val="Hyperlink"/>
        </w:rPr>
        <w:t xml:space="preserve">. </w:t>
      </w:r>
    </w:p>
  </w:footnote>
  <w:footnote w:id="7">
    <w:p w14:paraId="2E09198E" w14:textId="032D82BB" w:rsidR="004901ED" w:rsidRDefault="004901ED" w:rsidP="004901ED">
      <w:pPr>
        <w:pStyle w:val="FootnoteText"/>
      </w:pPr>
      <w:r>
        <w:rPr>
          <w:rStyle w:val="FootnoteReference"/>
        </w:rPr>
        <w:footnoteRef/>
      </w:r>
      <w:r w:rsidR="00A23840">
        <w:t xml:space="preserve"> Vermont Department of Health, </w:t>
      </w:r>
      <w:r w:rsidR="00A23840" w:rsidRPr="00A23840">
        <w:t>Vermont State Health Assessment</w:t>
      </w:r>
      <w:r w:rsidR="00A23840">
        <w:t xml:space="preserve"> (</w:t>
      </w:r>
      <w:r w:rsidR="004F62BE">
        <w:t>June 1, 2018</w:t>
      </w:r>
      <w:r w:rsidR="00A23840">
        <w:t>)</w:t>
      </w:r>
      <w:r w:rsidR="004F62BE">
        <w:t xml:space="preserve">, </w:t>
      </w:r>
      <w:r w:rsidR="004F62BE">
        <w:rPr>
          <w:i/>
          <w:iCs/>
        </w:rPr>
        <w:t xml:space="preserve">available at </w:t>
      </w:r>
      <w:hyperlink r:id="rId6" w:history="1">
        <w:r w:rsidRPr="00BE322F">
          <w:rPr>
            <w:rStyle w:val="Hyperlink"/>
          </w:rPr>
          <w:t>https://www.healthvermont.gov/sites/default/files/documents/pdf/VT%20State%20Health%20Assessment%202018%20Full%20Report.pdf</w:t>
        </w:r>
      </w:hyperlink>
      <w:r w:rsidR="004F62BE">
        <w:t>.</w:t>
      </w:r>
    </w:p>
  </w:footnote>
  <w:footnote w:id="8">
    <w:p w14:paraId="2E2633E1" w14:textId="6D259693" w:rsidR="004901ED" w:rsidRDefault="004901ED" w:rsidP="004901ED">
      <w:pPr>
        <w:pStyle w:val="FootnoteText"/>
      </w:pPr>
      <w:r>
        <w:rPr>
          <w:rStyle w:val="FootnoteReference"/>
        </w:rPr>
        <w:footnoteRef/>
      </w:r>
      <w:r>
        <w:t xml:space="preserve"> </w:t>
      </w:r>
      <w:bookmarkStart w:id="11" w:name="_Hlt93497645"/>
      <w:r w:rsidR="00194EC3" w:rsidRPr="00194EC3">
        <w:t>National Institute on Deafness and Other Communication Disorders</w:t>
      </w:r>
      <w:r w:rsidR="00194EC3">
        <w:t xml:space="preserve">, </w:t>
      </w:r>
      <w:r w:rsidR="00194EC3" w:rsidRPr="00194EC3">
        <w:t>Quick Statistics About Hearing</w:t>
      </w:r>
      <w:r w:rsidR="00194EC3">
        <w:t xml:space="preserve"> (2021)</w:t>
      </w:r>
      <w:r w:rsidR="00E02A04">
        <w:t xml:space="preserve">, </w:t>
      </w:r>
      <w:hyperlink r:id="rId7" w:history="1">
        <w:r w:rsidRPr="00E92EAB">
          <w:rPr>
            <w:rStyle w:val="Hyperlink"/>
          </w:rPr>
          <w:t>https://www.nidcd.nih.gov/health/statistics/quick-statistics-hearing</w:t>
        </w:r>
      </w:hyperlink>
      <w:bookmarkEnd w:id="11"/>
      <w:r w:rsidR="00A724BF">
        <w:t xml:space="preserve">. </w:t>
      </w:r>
    </w:p>
  </w:footnote>
  <w:footnote w:id="9">
    <w:p w14:paraId="0324B5E8" w14:textId="721CA2BF" w:rsidR="009E5D6A" w:rsidRDefault="009E5D6A">
      <w:pPr>
        <w:pStyle w:val="FootnoteText"/>
      </w:pPr>
      <w:r>
        <w:rPr>
          <w:rStyle w:val="FootnoteReference"/>
        </w:rPr>
        <w:footnoteRef/>
      </w:r>
      <w:r w:rsidRPr="006A4A57">
        <w:t>Jung D</w:t>
      </w:r>
      <w:r w:rsidR="003963A7">
        <w:t>. and</w:t>
      </w:r>
      <w:r w:rsidR="003963A7" w:rsidRPr="006A4A57">
        <w:t xml:space="preserve"> </w:t>
      </w:r>
      <w:r w:rsidRPr="006A4A57">
        <w:t>Bhattacharyya N.</w:t>
      </w:r>
      <w:r w:rsidR="003963A7">
        <w:t>,</w:t>
      </w:r>
      <w:r w:rsidRPr="006A4A57">
        <w:t xml:space="preserve"> </w:t>
      </w:r>
      <w:r w:rsidRPr="00D74612">
        <w:rPr>
          <w:i/>
        </w:rPr>
        <w:t xml:space="preserve">Association of Hearing Loss with Decreased </w:t>
      </w:r>
      <w:r w:rsidRPr="00D74612">
        <w:rPr>
          <w:i/>
        </w:rPr>
        <w:t>Employment and Income among Adults in the United States</w:t>
      </w:r>
      <w:r w:rsidR="00CD2513">
        <w:t>,</w:t>
      </w:r>
      <w:r w:rsidR="00CD2513" w:rsidRPr="006A4A57">
        <w:t> </w:t>
      </w:r>
      <w:r w:rsidR="006056F6">
        <w:t xml:space="preserve">121 </w:t>
      </w:r>
      <w:r w:rsidRPr="006A4A57">
        <w:t>Annals of Otology, Rhinology &amp; Laryngology</w:t>
      </w:r>
      <w:r w:rsidR="006056F6">
        <w:t xml:space="preserve"> 12</w:t>
      </w:r>
      <w:r w:rsidR="00DB2ED4">
        <w:t>, at 771-775 (</w:t>
      </w:r>
      <w:r w:rsidR="000A6E84">
        <w:t>Dec. 2012</w:t>
      </w:r>
      <w:r w:rsidR="00DB2ED4">
        <w:t>)</w:t>
      </w:r>
      <w:r w:rsidR="000A6E84">
        <w:t>.</w:t>
      </w:r>
    </w:p>
  </w:footnote>
  <w:footnote w:id="10">
    <w:p w14:paraId="34FE8DD3" w14:textId="60C8426D" w:rsidR="00FC0483" w:rsidRDefault="00FC0483">
      <w:pPr>
        <w:pStyle w:val="FootnoteText"/>
      </w:pPr>
      <w:r>
        <w:rPr>
          <w:rStyle w:val="FootnoteReference"/>
        </w:rPr>
        <w:footnoteRef/>
      </w:r>
      <w:r>
        <w:t xml:space="preserve"> </w:t>
      </w:r>
      <w:r w:rsidRPr="006A4A57">
        <w:t>Bigelow R</w:t>
      </w:r>
      <w:r w:rsidR="00706DE0">
        <w:t>.</w:t>
      </w:r>
      <w:r w:rsidRPr="006A4A57">
        <w:t>T</w:t>
      </w:r>
      <w:r w:rsidR="00706DE0">
        <w:t>.</w:t>
      </w:r>
      <w:r w:rsidRPr="006A4A57">
        <w:t>, et al.</w:t>
      </w:r>
      <w:r w:rsidR="00706DE0">
        <w:t>,</w:t>
      </w:r>
      <w:r w:rsidRPr="006A4A57">
        <w:t xml:space="preserve"> </w:t>
      </w:r>
      <w:r w:rsidRPr="00D74612">
        <w:rPr>
          <w:i/>
        </w:rPr>
        <w:t xml:space="preserve">Association of Hearing Loss </w:t>
      </w:r>
      <w:r w:rsidRPr="00D74612">
        <w:rPr>
          <w:i/>
        </w:rPr>
        <w:t>With Psychological Distress and Utilization of Mental Health Services Among Adults in the United States</w:t>
      </w:r>
      <w:r w:rsidR="000B24B8">
        <w:t>,</w:t>
      </w:r>
      <w:r w:rsidR="000B24B8" w:rsidRPr="006A4A57">
        <w:t> </w:t>
      </w:r>
      <w:r w:rsidR="000B24B8">
        <w:t xml:space="preserve">3 </w:t>
      </w:r>
      <w:r w:rsidRPr="006A4A57">
        <w:rPr>
          <w:i/>
          <w:iCs/>
        </w:rPr>
        <w:t xml:space="preserve">JAMA </w:t>
      </w:r>
      <w:r w:rsidRPr="006A4A57">
        <w:rPr>
          <w:i/>
          <w:iCs/>
        </w:rPr>
        <w:t>Netw Open.</w:t>
      </w:r>
      <w:r w:rsidRPr="006A4A57">
        <w:t> </w:t>
      </w:r>
      <w:r w:rsidR="009A5306">
        <w:t>7</w:t>
      </w:r>
      <w:r w:rsidR="00614BF5">
        <w:t xml:space="preserve"> (July 20, 2020), </w:t>
      </w:r>
      <w:r w:rsidR="00614BF5">
        <w:rPr>
          <w:i/>
          <w:iCs/>
        </w:rPr>
        <w:t xml:space="preserve">available at </w:t>
      </w:r>
      <w:hyperlink r:id="rId8" w:history="1">
        <w:r w:rsidR="009E6E04" w:rsidRPr="001D515C">
          <w:rPr>
            <w:rStyle w:val="Hyperlink"/>
          </w:rPr>
          <w:t>https://jamanetwork.com/journals/jamanetworkopen/fullarticle/2768374</w:t>
        </w:r>
      </w:hyperlink>
      <w:r w:rsidR="009E6E04" w:rsidRPr="001D515C">
        <w:t>.</w:t>
      </w:r>
      <w:r w:rsidR="009E6E04">
        <w:rPr>
          <w:i/>
          <w:iCs/>
        </w:rPr>
        <w:t xml:space="preserve"> </w:t>
      </w:r>
    </w:p>
  </w:footnote>
  <w:footnote w:id="11">
    <w:p w14:paraId="12F7C480" w14:textId="4F3454AB" w:rsidR="00E2622C" w:rsidRDefault="00E2622C" w:rsidP="00E2622C">
      <w:pPr>
        <w:pStyle w:val="FootnoteText"/>
      </w:pPr>
      <w:r>
        <w:rPr>
          <w:rStyle w:val="FootnoteReference"/>
        </w:rPr>
        <w:footnoteRef/>
      </w:r>
      <w:r>
        <w:t xml:space="preserve"> Michael M. McKee, </w:t>
      </w:r>
      <w:r w:rsidR="001920D9" w:rsidRPr="006A4A57">
        <w:t>et al.</w:t>
      </w:r>
      <w:r w:rsidR="001920D9">
        <w:t xml:space="preserve">, </w:t>
      </w:r>
      <w:r w:rsidRPr="001D515C">
        <w:rPr>
          <w:i/>
        </w:rPr>
        <w:t>The Relationship Between Hearing Loss and Substance Use Disorders Among Adults in the U.S.</w:t>
      </w:r>
      <w:r>
        <w:t>,</w:t>
      </w:r>
      <w:r w:rsidR="001920D9">
        <w:t xml:space="preserve"> 56 </w:t>
      </w:r>
      <w:r>
        <w:t>Am</w:t>
      </w:r>
      <w:r w:rsidR="00826912">
        <w:t>.</w:t>
      </w:r>
      <w:r>
        <w:t xml:space="preserve"> </w:t>
      </w:r>
      <w:r w:rsidR="00826912">
        <w:t xml:space="preserve">J. </w:t>
      </w:r>
      <w:r>
        <w:t xml:space="preserve">Preventive </w:t>
      </w:r>
      <w:r w:rsidR="00826912">
        <w:t>Med. 4</w:t>
      </w:r>
      <w:r>
        <w:t>, Volume 56, Issue 4, 2019.</w:t>
      </w:r>
    </w:p>
  </w:footnote>
  <w:footnote w:id="12">
    <w:p w14:paraId="0A32EEB9" w14:textId="0F9A4201" w:rsidR="00DC3CC1" w:rsidRDefault="00DC3CC1">
      <w:pPr>
        <w:pStyle w:val="FootnoteText"/>
      </w:pPr>
      <w:r>
        <w:rPr>
          <w:rStyle w:val="FootnoteReference"/>
        </w:rPr>
        <w:footnoteRef/>
      </w:r>
      <w:r>
        <w:t xml:space="preserve"> </w:t>
      </w:r>
      <w:r w:rsidRPr="006A4A57">
        <w:t xml:space="preserve">Loughrey DG, Kelly ME, Kelley GA, Brennan S, Lawlor BA. Association of Age-Related Hearing Loss </w:t>
      </w:r>
      <w:r w:rsidRPr="006A4A57">
        <w:t>With Cognitive Function, Cognitive Impairment, and Dementia: A Systematic Review and Meta-analysis. </w:t>
      </w:r>
      <w:r w:rsidRPr="006A4A57">
        <w:rPr>
          <w:i/>
          <w:iCs/>
        </w:rPr>
        <w:t>JAMA Otolaryngol Head Neck Surg.</w:t>
      </w:r>
      <w:r w:rsidRPr="006A4A57">
        <w:t xml:space="preserve"> 2018;144(2):115–126. </w:t>
      </w:r>
    </w:p>
  </w:footnote>
  <w:footnote w:id="13">
    <w:p w14:paraId="616BC250" w14:textId="1DF6F57F" w:rsidR="007044E3" w:rsidRDefault="007044E3" w:rsidP="007044E3">
      <w:pPr>
        <w:pStyle w:val="FootnoteText"/>
      </w:pPr>
      <w:r>
        <w:rPr>
          <w:rStyle w:val="FootnoteReference"/>
        </w:rPr>
        <w:footnoteRef/>
      </w:r>
      <w:r>
        <w:t xml:space="preserve">Gabriela Weigel, Usha, </w:t>
      </w:r>
      <w:r>
        <w:t xml:space="preserve">Ranji, Michelle Long, and Alina Salganicoff, </w:t>
      </w:r>
      <w:r w:rsidR="00795B03">
        <w:t xml:space="preserve">Issue Brief, </w:t>
      </w:r>
      <w:r w:rsidRPr="00657BD2">
        <w:rPr>
          <w:i/>
        </w:rPr>
        <w:t>Coverage and Use of Fertility Services in the U.S.</w:t>
      </w:r>
      <w:r w:rsidR="00795B03">
        <w:t xml:space="preserve">, Kaiser Family Foundation </w:t>
      </w:r>
      <w:r w:rsidR="003821F2">
        <w:t xml:space="preserve">(Sep. 15, 2020), </w:t>
      </w:r>
      <w:r w:rsidR="003821F2" w:rsidRPr="003821F2">
        <w:rPr>
          <w:i/>
          <w:iCs/>
        </w:rPr>
        <w:t>available</w:t>
      </w:r>
      <w:r w:rsidR="003821F2" w:rsidRPr="00657BD2">
        <w:rPr>
          <w:i/>
          <w:iCs/>
        </w:rPr>
        <w:t xml:space="preserve"> at</w:t>
      </w:r>
      <w:r>
        <w:t xml:space="preserve"> </w:t>
      </w:r>
      <w:hyperlink r:id="rId9" w:history="1">
        <w:r w:rsidR="0015327F" w:rsidRPr="00000F4D">
          <w:rPr>
            <w:rStyle w:val="Hyperlink"/>
          </w:rPr>
          <w:t>https://www.kff.org/womens-health-policy/issue-brief/coverage-and-use-of-fertility-services-in-the-u-s</w:t>
        </w:r>
      </w:hyperlink>
      <w:r w:rsidR="0015327F">
        <w:t xml:space="preserve">. </w:t>
      </w:r>
    </w:p>
  </w:footnote>
  <w:footnote w:id="14">
    <w:p w14:paraId="21B89E62" w14:textId="053531DE" w:rsidR="00372538" w:rsidRDefault="00372538" w:rsidP="00372538">
      <w:pPr>
        <w:pStyle w:val="FootnoteText"/>
      </w:pPr>
      <w:r>
        <w:rPr>
          <w:rStyle w:val="FootnoteReference"/>
        </w:rPr>
        <w:footnoteRef/>
      </w:r>
      <w:r>
        <w:t xml:space="preserve"> </w:t>
      </w:r>
      <w:r w:rsidR="00806134" w:rsidRPr="00806134">
        <w:t>Loretta Gavin</w:t>
      </w:r>
      <w:r w:rsidR="00806134">
        <w:t xml:space="preserve">, </w:t>
      </w:r>
      <w:r w:rsidR="001E2E0D">
        <w:t xml:space="preserve">et al., </w:t>
      </w:r>
      <w:r w:rsidR="00E91E64" w:rsidRPr="00657BD2">
        <w:rPr>
          <w:i/>
        </w:rPr>
        <w:t>Providing Quality Family Planning Services Recommendations of CDC and the U.S. Office of Population Affairs</w:t>
      </w:r>
      <w:r w:rsidR="00255A68">
        <w:t xml:space="preserve">, </w:t>
      </w:r>
      <w:r w:rsidR="00E0115B">
        <w:t xml:space="preserve">63 MMWR </w:t>
      </w:r>
      <w:r w:rsidR="00CD5B79">
        <w:t xml:space="preserve">4, at </w:t>
      </w:r>
      <w:r w:rsidR="00733703">
        <w:t xml:space="preserve">15 (Apr. 25, 2014), </w:t>
      </w:r>
      <w:r w:rsidR="008E7AAB">
        <w:rPr>
          <w:i/>
          <w:iCs/>
        </w:rPr>
        <w:t xml:space="preserve">available at </w:t>
      </w:r>
      <w:hyperlink r:id="rId10" w:history="1">
        <w:r w:rsidRPr="00250FF0">
          <w:rPr>
            <w:rStyle w:val="Hyperlink"/>
          </w:rPr>
          <w:t>https://www.cdc.gov/</w:t>
        </w:r>
        <w:r w:rsidR="00F65D93" w:rsidRPr="00F65D93">
          <w:rPr>
            <w:rStyle w:val="Hyperlink"/>
          </w:rPr>
          <w:t>mmwr</w:t>
        </w:r>
        <w:r w:rsidRPr="00250FF0">
          <w:rPr>
            <w:rStyle w:val="Hyperlink"/>
          </w:rPr>
          <w:t>/pdf/rr/rr6304.pdf</w:t>
        </w:r>
      </w:hyperlink>
      <w:r w:rsidR="00413BB4">
        <w:t>.</w:t>
      </w:r>
    </w:p>
  </w:footnote>
  <w:footnote w:id="15">
    <w:p w14:paraId="5A777A22" w14:textId="0B3DED54" w:rsidR="00C57E8B" w:rsidRDefault="00C57E8B" w:rsidP="00C57E8B">
      <w:pPr>
        <w:pStyle w:val="FootnoteText"/>
      </w:pPr>
      <w:r>
        <w:rPr>
          <w:rStyle w:val="FootnoteReference"/>
        </w:rPr>
        <w:footnoteRef/>
      </w:r>
      <w:r>
        <w:t xml:space="preserve"> </w:t>
      </w:r>
      <w:r w:rsidR="009614DE">
        <w:t>Centers for Disease Control and Prevention,</w:t>
      </w:r>
      <w:r>
        <w:t xml:space="preserve"> </w:t>
      </w:r>
      <w:r w:rsidR="00680466" w:rsidRPr="00680466">
        <w:t xml:space="preserve">State-Specific Assisted Reproductive Technology Surveillance </w:t>
      </w:r>
      <w:r w:rsidR="00536D55">
        <w:t>(Dec</w:t>
      </w:r>
      <w:r w:rsidR="00281A8B">
        <w:t>. 27, 2021</w:t>
      </w:r>
      <w:r w:rsidR="00536D55">
        <w:t>)</w:t>
      </w:r>
      <w:r w:rsidR="00281A8B">
        <w:t xml:space="preserve">, </w:t>
      </w:r>
      <w:hyperlink r:id="rId11" w:anchor="key" w:history="1">
        <w:r w:rsidR="00281A8B" w:rsidRPr="00000F4D">
          <w:rPr>
            <w:rStyle w:val="Hyperlink"/>
          </w:rPr>
          <w:t>https://www.cdc.gov/art/state-specific-surveillance/index.html#key</w:t>
        </w:r>
      </w:hyperlink>
      <w:r w:rsidR="00281A8B">
        <w:t xml:space="preserve">. </w:t>
      </w:r>
    </w:p>
  </w:footnote>
  <w:footnote w:id="16">
    <w:p w14:paraId="0C5150EA" w14:textId="08EC5B5B" w:rsidR="008E01B0" w:rsidRDefault="008E01B0">
      <w:pPr>
        <w:pStyle w:val="FootnoteText"/>
      </w:pPr>
      <w:r>
        <w:rPr>
          <w:rStyle w:val="FootnoteReference"/>
        </w:rPr>
        <w:footnoteRef/>
      </w:r>
      <w:r>
        <w:t xml:space="preserve"> </w:t>
      </w:r>
      <w:r w:rsidR="003B361B">
        <w:t>Centers for Disease Control and Prevention,</w:t>
      </w:r>
      <w:r>
        <w:t xml:space="preserve"> </w:t>
      </w:r>
      <w:r w:rsidR="00F72F61">
        <w:t>State-Specific Assisted Reproductive Technology</w:t>
      </w:r>
      <w:r w:rsidR="00D27B16">
        <w:t xml:space="preserve"> </w:t>
      </w:r>
      <w:r w:rsidR="00F72F61">
        <w:t>Surveillance</w:t>
      </w:r>
      <w:r w:rsidR="00F72F61" w:rsidRPr="008E01B0">
        <w:t xml:space="preserve"> </w:t>
      </w:r>
      <w:r w:rsidR="00D51C99">
        <w:t>2019 Data Brief</w:t>
      </w:r>
      <w:r w:rsidR="00D27B16">
        <w:t xml:space="preserve"> (Oct. 2021), </w:t>
      </w:r>
      <w:r w:rsidR="00D27B16" w:rsidRPr="00657BD2">
        <w:rPr>
          <w:i/>
          <w:iCs/>
        </w:rPr>
        <w:t>available at</w:t>
      </w:r>
      <w:r w:rsidR="00D51C99">
        <w:t xml:space="preserve"> </w:t>
      </w:r>
      <w:hyperlink r:id="rId12" w:history="1">
        <w:r w:rsidR="00D27B16" w:rsidRPr="00000F4D">
          <w:rPr>
            <w:rStyle w:val="Hyperlink"/>
          </w:rPr>
          <w:t>https://www.cdc.gov/art/state-specific-surveillance/2019/pdf/State-Specific-ART-Surveillance-U.S.-2019-Data-Brief-h.pdf</w:t>
        </w:r>
      </w:hyperlink>
      <w:r w:rsidR="00D27B16">
        <w:t xml:space="preserve">. </w:t>
      </w:r>
    </w:p>
  </w:footnote>
  <w:footnote w:id="17">
    <w:p w14:paraId="7545ED6C" w14:textId="40C9541F" w:rsidR="009C20DD" w:rsidRPr="00904672" w:rsidRDefault="009C20DD" w:rsidP="0015052E">
      <w:pPr>
        <w:pStyle w:val="FootnoteText"/>
        <w:rPr>
          <w:i/>
          <w:iCs/>
        </w:rPr>
      </w:pPr>
      <w:r>
        <w:rPr>
          <w:rStyle w:val="FootnoteReference"/>
        </w:rPr>
        <w:footnoteRef/>
      </w:r>
      <w:r>
        <w:t xml:space="preserve"> </w:t>
      </w:r>
      <w:r w:rsidR="0015052E" w:rsidRPr="00655D3E">
        <w:rPr>
          <w:rFonts w:cstheme="minorHAnsi"/>
          <w:color w:val="212121"/>
          <w:shd w:val="clear" w:color="auto" w:fill="FFFFFF"/>
        </w:rPr>
        <w:t>Murugappan G</w:t>
      </w:r>
      <w:r w:rsidR="009F731F">
        <w:rPr>
          <w:rFonts w:cstheme="minorHAnsi"/>
          <w:color w:val="212121"/>
          <w:shd w:val="clear" w:color="auto" w:fill="FFFFFF"/>
        </w:rPr>
        <w:t>.</w:t>
      </w:r>
      <w:r w:rsidR="0015052E" w:rsidRPr="00655D3E">
        <w:rPr>
          <w:rFonts w:cstheme="minorHAnsi"/>
          <w:color w:val="212121"/>
          <w:shd w:val="clear" w:color="auto" w:fill="FFFFFF"/>
        </w:rPr>
        <w:t xml:space="preserve">, </w:t>
      </w:r>
      <w:r w:rsidR="009F731F" w:rsidRPr="006A4A57">
        <w:t>et al.</w:t>
      </w:r>
      <w:r w:rsidR="009F731F">
        <w:t>,</w:t>
      </w:r>
      <w:r w:rsidR="0015052E" w:rsidRPr="00657BD2">
        <w:rPr>
          <w:rFonts w:cstheme="minorHAnsi"/>
          <w:i/>
          <w:color w:val="212121"/>
          <w:shd w:val="clear" w:color="auto" w:fill="FFFFFF"/>
        </w:rPr>
        <w:t xml:space="preserve"> Increased risk of incident chronic medical conditions in infertile women: analysis of US claims data</w:t>
      </w:r>
      <w:r w:rsidR="003279E9">
        <w:rPr>
          <w:rFonts w:cstheme="minorHAnsi"/>
          <w:color w:val="212121"/>
          <w:shd w:val="clear" w:color="auto" w:fill="FFFFFF"/>
        </w:rPr>
        <w:t xml:space="preserve">, </w:t>
      </w:r>
      <w:r w:rsidR="00671610">
        <w:rPr>
          <w:rFonts w:cstheme="minorHAnsi"/>
          <w:color w:val="212121"/>
          <w:shd w:val="clear" w:color="auto" w:fill="FFFFFF"/>
        </w:rPr>
        <w:t xml:space="preserve">220 </w:t>
      </w:r>
      <w:r w:rsidR="0015052E" w:rsidRPr="00655D3E">
        <w:rPr>
          <w:rFonts w:cstheme="minorHAnsi"/>
          <w:color w:val="212121"/>
          <w:shd w:val="clear" w:color="auto" w:fill="FFFFFF"/>
        </w:rPr>
        <w:t>Am</w:t>
      </w:r>
      <w:r w:rsidR="00757DE3">
        <w:rPr>
          <w:rFonts w:cstheme="minorHAnsi"/>
          <w:color w:val="212121"/>
          <w:shd w:val="clear" w:color="auto" w:fill="FFFFFF"/>
        </w:rPr>
        <w:t>.</w:t>
      </w:r>
      <w:r w:rsidR="0015052E" w:rsidRPr="00655D3E">
        <w:rPr>
          <w:rFonts w:cstheme="minorHAnsi"/>
          <w:color w:val="212121"/>
          <w:shd w:val="clear" w:color="auto" w:fill="FFFFFF"/>
        </w:rPr>
        <w:t xml:space="preserve"> J</w:t>
      </w:r>
      <w:r w:rsidR="00AC39D5">
        <w:rPr>
          <w:rFonts w:cstheme="minorHAnsi"/>
          <w:color w:val="212121"/>
          <w:shd w:val="clear" w:color="auto" w:fill="FFFFFF"/>
        </w:rPr>
        <w:t>.</w:t>
      </w:r>
      <w:r w:rsidR="0015052E" w:rsidRPr="00655D3E">
        <w:rPr>
          <w:rFonts w:cstheme="minorHAnsi"/>
          <w:color w:val="212121"/>
          <w:shd w:val="clear" w:color="auto" w:fill="FFFFFF"/>
        </w:rPr>
        <w:t xml:space="preserve"> Obstet</w:t>
      </w:r>
      <w:r w:rsidR="00AC39D5">
        <w:rPr>
          <w:rFonts w:cstheme="minorHAnsi"/>
          <w:color w:val="212121"/>
          <w:shd w:val="clear" w:color="auto" w:fill="FFFFFF"/>
        </w:rPr>
        <w:t>.</w:t>
      </w:r>
      <w:r w:rsidR="0015052E" w:rsidRPr="00655D3E">
        <w:rPr>
          <w:rFonts w:cstheme="minorHAnsi"/>
          <w:color w:val="212121"/>
          <w:shd w:val="clear" w:color="auto" w:fill="FFFFFF"/>
        </w:rPr>
        <w:t xml:space="preserve"> Gynecol. </w:t>
      </w:r>
      <w:r w:rsidR="00DE7C95">
        <w:rPr>
          <w:rFonts w:cstheme="minorHAnsi"/>
          <w:color w:val="212121"/>
          <w:shd w:val="clear" w:color="auto" w:fill="FFFFFF"/>
        </w:rPr>
        <w:t xml:space="preserve">5 at </w:t>
      </w:r>
      <w:r w:rsidR="005B0402" w:rsidRPr="005B0402">
        <w:rPr>
          <w:rFonts w:cstheme="minorHAnsi"/>
          <w:color w:val="212121"/>
          <w:shd w:val="clear" w:color="auto" w:fill="FFFFFF"/>
        </w:rPr>
        <w:t>473.e1-473.e14</w:t>
      </w:r>
      <w:r w:rsidR="0029626D">
        <w:rPr>
          <w:rFonts w:cstheme="minorHAnsi"/>
          <w:color w:val="212121"/>
          <w:shd w:val="clear" w:color="auto" w:fill="FFFFFF"/>
        </w:rPr>
        <w:t xml:space="preserve"> (May 1, 2019).</w:t>
      </w:r>
    </w:p>
  </w:footnote>
  <w:footnote w:id="18">
    <w:p w14:paraId="1127C7FE" w14:textId="77777777" w:rsidR="004D367B" w:rsidRDefault="004D367B" w:rsidP="004D367B">
      <w:pPr>
        <w:pStyle w:val="FootnoteText"/>
      </w:pPr>
      <w:r>
        <w:rPr>
          <w:rStyle w:val="FootnoteReference"/>
        </w:rPr>
        <w:footnoteRef/>
      </w:r>
      <w:r>
        <w:t xml:space="preserve"> </w:t>
      </w:r>
      <w:r>
        <w:rPr>
          <w:i/>
          <w:iCs/>
        </w:rPr>
        <w:t xml:space="preserve">See </w:t>
      </w:r>
      <w:r>
        <w:t xml:space="preserve">David Kaufman, </w:t>
      </w:r>
      <w:r>
        <w:rPr>
          <w:i/>
          <w:iCs/>
        </w:rPr>
        <w:t>The Fight for Fertility Equality</w:t>
      </w:r>
      <w:r>
        <w:t xml:space="preserve">, N.Y. Times, at D1 (July 23, 2020), </w:t>
      </w:r>
      <w:r>
        <w:rPr>
          <w:i/>
          <w:iCs/>
        </w:rPr>
        <w:t>available at</w:t>
      </w:r>
      <w:r>
        <w:t xml:space="preserve"> </w:t>
      </w:r>
      <w:hyperlink r:id="rId13" w:history="1">
        <w:r w:rsidRPr="00BE322F">
          <w:rPr>
            <w:rStyle w:val="Hyperlink"/>
          </w:rPr>
          <w:t>https://www.nytimes.com/2020/07/22/style/lgbtq-fertility-surrogacy-coverage.html</w:t>
        </w:r>
      </w:hyperlink>
      <w:r>
        <w:t xml:space="preserve">. </w:t>
      </w:r>
    </w:p>
  </w:footnote>
  <w:footnote w:id="19">
    <w:p w14:paraId="55C9BAD8" w14:textId="378863CE" w:rsidR="00454189" w:rsidRDefault="00454189" w:rsidP="00454189">
      <w:pPr>
        <w:pStyle w:val="FootnoteText"/>
      </w:pPr>
      <w:r>
        <w:rPr>
          <w:rStyle w:val="FootnoteReference"/>
        </w:rPr>
        <w:footnoteRef/>
      </w:r>
      <w:r>
        <w:t xml:space="preserve"> </w:t>
      </w:r>
      <w:r w:rsidR="00B20384" w:rsidRPr="00B20384">
        <w:t>45 C</w:t>
      </w:r>
      <w:r w:rsidR="00B20384">
        <w:t>.</w:t>
      </w:r>
      <w:r w:rsidR="00B20384" w:rsidRPr="00B20384">
        <w:t>F</w:t>
      </w:r>
      <w:r w:rsidR="00B20384">
        <w:t>.</w:t>
      </w:r>
      <w:r w:rsidR="00B20384" w:rsidRPr="00B20384">
        <w:t>R</w:t>
      </w:r>
      <w:r w:rsidR="00B20384">
        <w:t>.</w:t>
      </w:r>
      <w:r w:rsidR="00B20384" w:rsidRPr="00B20384">
        <w:t xml:space="preserve"> §</w:t>
      </w:r>
      <w:r w:rsidR="004B4E91">
        <w:t> </w:t>
      </w:r>
      <w:r w:rsidR="00B20384" w:rsidRPr="00B20384">
        <w:t>156.115</w:t>
      </w:r>
      <w:r w:rsidR="00B20384">
        <w:t xml:space="preserve">, </w:t>
      </w:r>
      <w:r w:rsidR="00B20384" w:rsidRPr="00657BD2">
        <w:rPr>
          <w:i/>
        </w:rPr>
        <w:t>available at</w:t>
      </w:r>
      <w:r w:rsidR="00B20384">
        <w:t xml:space="preserve"> </w:t>
      </w:r>
      <w:hyperlink r:id="rId14" w:history="1">
        <w:r w:rsidR="00E173A2" w:rsidRPr="00000F4D">
          <w:rPr>
            <w:rStyle w:val="Hyperlink"/>
          </w:rPr>
          <w:t>https://www.ecfr.gov/current/title-45/subtitle-A/subchapter-B/part-156/subpart-B/section-156.115</w:t>
        </w:r>
      </w:hyperlink>
      <w:r w:rsidR="00E173A2">
        <w:t>.</w:t>
      </w:r>
      <w:r>
        <w:t xml:space="preserve"> </w:t>
      </w:r>
    </w:p>
  </w:footnote>
  <w:footnote w:id="20">
    <w:p w14:paraId="1446FB59" w14:textId="704BAB78" w:rsidR="0021338E" w:rsidRDefault="0021338E">
      <w:pPr>
        <w:pStyle w:val="FootnoteText"/>
      </w:pPr>
      <w:r>
        <w:rPr>
          <w:rStyle w:val="FootnoteReference"/>
        </w:rPr>
        <w:footnoteRef/>
      </w:r>
      <w:r>
        <w:t xml:space="preserve"> </w:t>
      </w:r>
      <w:r w:rsidR="001C207E">
        <w:t>Centers for Disease Control and Prevention</w:t>
      </w:r>
      <w:r w:rsidR="0004786D">
        <w:t xml:space="preserve">, </w:t>
      </w:r>
      <w:r w:rsidR="0004786D" w:rsidRPr="0004786D">
        <w:t xml:space="preserve">Fast Facts of Common Eye Disorders </w:t>
      </w:r>
      <w:r w:rsidR="0004786D">
        <w:t>(</w:t>
      </w:r>
      <w:r w:rsidR="0004786D" w:rsidRPr="0004786D">
        <w:t>June 9, 2020</w:t>
      </w:r>
      <w:r w:rsidR="0004786D">
        <w:t>),</w:t>
      </w:r>
      <w:r>
        <w:t xml:space="preserve"> </w:t>
      </w:r>
      <w:hyperlink r:id="rId15" w:history="1">
        <w:r w:rsidRPr="0021338E">
          <w:rPr>
            <w:rStyle w:val="Hyperlink"/>
          </w:rPr>
          <w:t>https://www.cdc.gov/visionhealth/basics/ced/fastfacts.htm</w:t>
        </w:r>
      </w:hyperlink>
      <w:r w:rsidR="0004786D">
        <w:rPr>
          <w:rStyle w:val="Hyperlink"/>
        </w:rPr>
        <w:t xml:space="preserve">. </w:t>
      </w:r>
    </w:p>
  </w:footnote>
  <w:footnote w:id="21">
    <w:p w14:paraId="6C673AA6" w14:textId="009F41A9" w:rsidR="00EF112E" w:rsidRDefault="00EF112E">
      <w:pPr>
        <w:pStyle w:val="FootnoteText"/>
      </w:pPr>
      <w:r>
        <w:rPr>
          <w:rStyle w:val="FootnoteReference"/>
        </w:rPr>
        <w:footnoteRef/>
      </w:r>
      <w:r>
        <w:t xml:space="preserve"> </w:t>
      </w:r>
      <w:bookmarkStart w:id="17" w:name="_Hlt93501551"/>
      <w:r w:rsidR="002750EA" w:rsidRPr="6C947803">
        <w:rPr>
          <w:rFonts w:ascii="Calibri" w:eastAsia="Calibri" w:hAnsi="Calibri" w:cs="Calibri"/>
        </w:rPr>
        <w:t>Vermont Department of Health</w:t>
      </w:r>
      <w:r w:rsidR="002750EA">
        <w:rPr>
          <w:rFonts w:ascii="Calibri" w:eastAsia="Calibri" w:hAnsi="Calibri" w:cs="Calibri"/>
        </w:rPr>
        <w:t xml:space="preserve">, </w:t>
      </w:r>
      <w:r w:rsidR="002750EA" w:rsidRPr="6C947803">
        <w:rPr>
          <w:rFonts w:ascii="Calibri" w:eastAsia="Calibri" w:hAnsi="Calibri" w:cs="Calibri"/>
        </w:rPr>
        <w:t>Health Report</w:t>
      </w:r>
      <w:r w:rsidR="00426DB6">
        <w:rPr>
          <w:rFonts w:ascii="Calibri" w:eastAsia="Calibri" w:hAnsi="Calibri" w:cs="Calibri"/>
        </w:rPr>
        <w:t>,</w:t>
      </w:r>
      <w:r w:rsidR="002750EA" w:rsidRPr="6C947803">
        <w:rPr>
          <w:rFonts w:ascii="Calibri" w:eastAsia="Calibri" w:hAnsi="Calibri" w:cs="Calibri"/>
        </w:rPr>
        <w:t xml:space="preserve"> </w:t>
      </w:r>
      <w:r w:rsidR="002750EA" w:rsidRPr="00657BD2">
        <w:rPr>
          <w:rFonts w:ascii="Calibri" w:eastAsia="Calibri" w:hAnsi="Calibri" w:cs="Calibri"/>
          <w:i/>
        </w:rPr>
        <w:t>Burden of Oral Disease in Vermont</w:t>
      </w:r>
      <w:r w:rsidR="00426DB6">
        <w:rPr>
          <w:rFonts w:ascii="Calibri" w:eastAsia="Calibri" w:hAnsi="Calibri" w:cs="Calibri"/>
        </w:rPr>
        <w:t xml:space="preserve"> (</w:t>
      </w:r>
      <w:r w:rsidR="00C107E7">
        <w:rPr>
          <w:rFonts w:ascii="Calibri" w:eastAsia="Calibri" w:hAnsi="Calibri" w:cs="Calibri"/>
        </w:rPr>
        <w:t>2013</w:t>
      </w:r>
      <w:r w:rsidR="00426DB6">
        <w:rPr>
          <w:rFonts w:ascii="Calibri" w:eastAsia="Calibri" w:hAnsi="Calibri" w:cs="Calibri"/>
        </w:rPr>
        <w:t>)</w:t>
      </w:r>
      <w:r w:rsidR="00F03E38">
        <w:rPr>
          <w:rFonts w:ascii="Calibri" w:eastAsia="Calibri" w:hAnsi="Calibri" w:cs="Calibri"/>
        </w:rPr>
        <w:t xml:space="preserve">, </w:t>
      </w:r>
      <w:r w:rsidR="00F03E38">
        <w:rPr>
          <w:rFonts w:ascii="Calibri" w:eastAsia="Calibri" w:hAnsi="Calibri" w:cs="Calibri"/>
          <w:i/>
          <w:iCs/>
        </w:rPr>
        <w:t>available at</w:t>
      </w:r>
      <w:r w:rsidR="00F03E38">
        <w:rPr>
          <w:rFonts w:ascii="Calibri" w:eastAsia="Calibri" w:hAnsi="Calibri" w:cs="Calibri"/>
        </w:rPr>
        <w:t xml:space="preserve"> </w:t>
      </w:r>
      <w:hyperlink r:id="rId16" w:history="1">
        <w:r w:rsidRPr="00BE322F">
          <w:rPr>
            <w:rStyle w:val="Hyperlink"/>
          </w:rPr>
          <w:t>https://www.healthvermont.gov/sites/default/files/burden_of_oral_disease.pdf</w:t>
        </w:r>
      </w:hyperlink>
      <w:bookmarkEnd w:id="17"/>
      <w:r w:rsidR="002746C0">
        <w:t xml:space="preserve">. </w:t>
      </w:r>
    </w:p>
  </w:footnote>
  <w:footnote w:id="22">
    <w:p w14:paraId="03B2F8CC" w14:textId="39AFD76F" w:rsidR="00A3610D" w:rsidRDefault="00A3610D">
      <w:pPr>
        <w:pStyle w:val="FootnoteText"/>
      </w:pPr>
      <w:r>
        <w:rPr>
          <w:rStyle w:val="FootnoteReference"/>
        </w:rPr>
        <w:footnoteRef/>
      </w:r>
      <w:r w:rsidR="00E50BB5">
        <w:t xml:space="preserve"> </w:t>
      </w:r>
      <w:r w:rsidR="00E50BB5" w:rsidRPr="6C947803">
        <w:rPr>
          <w:rFonts w:ascii="Calibri" w:eastAsia="Calibri" w:hAnsi="Calibri" w:cs="Calibri"/>
        </w:rPr>
        <w:t>Vermont Department of Health</w:t>
      </w:r>
      <w:r w:rsidR="00E50BB5">
        <w:rPr>
          <w:rFonts w:ascii="Calibri" w:eastAsia="Calibri" w:hAnsi="Calibri" w:cs="Calibri"/>
        </w:rPr>
        <w:t xml:space="preserve">, </w:t>
      </w:r>
      <w:r w:rsidR="00E50BB5">
        <w:rPr>
          <w:rFonts w:ascii="Calibri" w:eastAsia="Calibri" w:hAnsi="Calibri" w:cs="Calibri"/>
          <w:i/>
          <w:iCs/>
        </w:rPr>
        <w:t>Vermont State Health Improvement Plan</w:t>
      </w:r>
      <w:r w:rsidR="00E50BB5">
        <w:rPr>
          <w:rFonts w:ascii="Calibri" w:eastAsia="Calibri" w:hAnsi="Calibri" w:cs="Calibri"/>
        </w:rPr>
        <w:t xml:space="preserve">, </w:t>
      </w:r>
      <w:r w:rsidR="00513C07">
        <w:rPr>
          <w:rFonts w:ascii="Calibri" w:eastAsia="Calibri" w:hAnsi="Calibri" w:cs="Calibri"/>
        </w:rPr>
        <w:t xml:space="preserve">at </w:t>
      </w:r>
      <w:r w:rsidR="008C2129">
        <w:rPr>
          <w:rFonts w:ascii="Calibri" w:eastAsia="Calibri" w:hAnsi="Calibri" w:cs="Calibri"/>
        </w:rPr>
        <w:t>15 (</w:t>
      </w:r>
      <w:r w:rsidR="007B0999">
        <w:rPr>
          <w:rFonts w:ascii="Calibri" w:eastAsia="Calibri" w:hAnsi="Calibri" w:cs="Calibri"/>
        </w:rPr>
        <w:t>Dec. 31, 2018</w:t>
      </w:r>
      <w:r w:rsidR="008C2129">
        <w:rPr>
          <w:rFonts w:ascii="Calibri" w:eastAsia="Calibri" w:hAnsi="Calibri" w:cs="Calibri"/>
        </w:rPr>
        <w:t>)</w:t>
      </w:r>
      <w:r w:rsidR="007B0999">
        <w:rPr>
          <w:rFonts w:ascii="Calibri" w:eastAsia="Calibri" w:hAnsi="Calibri" w:cs="Calibri"/>
        </w:rPr>
        <w:t xml:space="preserve">, </w:t>
      </w:r>
      <w:r w:rsidR="0002755D">
        <w:rPr>
          <w:rFonts w:ascii="Calibri" w:eastAsia="Calibri" w:hAnsi="Calibri" w:cs="Calibri"/>
          <w:i/>
          <w:iCs/>
        </w:rPr>
        <w:t>available at</w:t>
      </w:r>
      <w:r w:rsidR="006610BE">
        <w:t xml:space="preserve"> </w:t>
      </w:r>
      <w:hyperlink r:id="rId17" w:history="1">
        <w:r w:rsidRPr="00BE322F">
          <w:rPr>
            <w:rStyle w:val="Hyperlink"/>
          </w:rPr>
          <w:t>https://www.healthvermont.gov/sites/default/files/documents/pdf/ADM_State_Health_Improvement_Plan_2019-2023.pdf</w:t>
        </w:r>
      </w:hyperlink>
      <w:r w:rsidR="006610BE">
        <w:t xml:space="preserve">. </w:t>
      </w:r>
    </w:p>
  </w:footnote>
  <w:footnote w:id="23">
    <w:p w14:paraId="0975A31A" w14:textId="650408A1" w:rsidR="008419AF" w:rsidRDefault="008419AF">
      <w:pPr>
        <w:pStyle w:val="FootnoteText"/>
      </w:pPr>
      <w:r>
        <w:rPr>
          <w:rStyle w:val="FootnoteReference"/>
        </w:rPr>
        <w:footnoteRef/>
      </w:r>
      <w:r>
        <w:t xml:space="preserve"> </w:t>
      </w:r>
      <w:r w:rsidR="00070B2E">
        <w:t>Social Security Administration,</w:t>
      </w:r>
      <w:r>
        <w:t xml:space="preserve"> </w:t>
      </w:r>
      <w:r w:rsidR="00C520C8" w:rsidRPr="00C520C8">
        <w:t>Program Operations Manual System (POMS)</w:t>
      </w:r>
      <w:r w:rsidR="00C520C8">
        <w:t xml:space="preserve">, </w:t>
      </w:r>
      <w:r w:rsidR="005959DC" w:rsidRPr="005959DC">
        <w:t>HI 00610.200 Definition of Durable Medical Equipment</w:t>
      </w:r>
      <w:r w:rsidR="0032260E">
        <w:t xml:space="preserve">, </w:t>
      </w:r>
      <w:r w:rsidR="0032260E">
        <w:rPr>
          <w:rFonts w:ascii="Calibri" w:eastAsia="Calibri" w:hAnsi="Calibri" w:cs="Calibri"/>
          <w:i/>
          <w:iCs/>
        </w:rPr>
        <w:t>available at</w:t>
      </w:r>
      <w:r w:rsidR="0032260E">
        <w:t xml:space="preserve"> </w:t>
      </w:r>
      <w:hyperlink r:id="rId18" w:history="1">
        <w:r w:rsidRPr="00E95740">
          <w:rPr>
            <w:rStyle w:val="Hyperlink"/>
          </w:rPr>
          <w:t>https://secure.ssa.gov/poms.nsf/lnx/0600610200</w:t>
        </w:r>
      </w:hyperlink>
      <w:r w:rsidR="0032260E">
        <w:t>.</w:t>
      </w:r>
      <w:r>
        <w:t xml:space="preserve"> </w:t>
      </w:r>
    </w:p>
  </w:footnote>
  <w:footnote w:id="24">
    <w:p w14:paraId="5C81C43B" w14:textId="4A33F1A0" w:rsidR="00915DA6" w:rsidRDefault="00915DA6">
      <w:pPr>
        <w:pStyle w:val="FootnoteText"/>
      </w:pPr>
      <w:r>
        <w:rPr>
          <w:rStyle w:val="FootnoteReference"/>
        </w:rPr>
        <w:footnoteRef/>
      </w:r>
      <w:r w:rsidR="0075491F">
        <w:t xml:space="preserve"> Harvard Law School, Center for Health Law and Policy Innovation</w:t>
      </w:r>
      <w:r w:rsidR="00925E13">
        <w:t xml:space="preserve">, Presentation, </w:t>
      </w:r>
      <w:r w:rsidR="00306E72" w:rsidRPr="00ED696F">
        <w:rPr>
          <w:i/>
          <w:iCs/>
        </w:rPr>
        <w:t>Food is Medicine: Peer-Reviewed Research in the U.S</w:t>
      </w:r>
      <w:r w:rsidR="00ED696F">
        <w:rPr>
          <w:i/>
          <w:iCs/>
        </w:rPr>
        <w:t>.</w:t>
      </w:r>
      <w:r w:rsidR="00ED696F">
        <w:t xml:space="preserve"> (</w:t>
      </w:r>
      <w:r w:rsidR="00304F62">
        <w:t>Dec. 2020</w:t>
      </w:r>
      <w:r w:rsidR="00ED696F">
        <w:t>)</w:t>
      </w:r>
      <w:r w:rsidR="00304F62">
        <w:t xml:space="preserve">, </w:t>
      </w:r>
      <w:r w:rsidR="00304F62">
        <w:rPr>
          <w:rFonts w:ascii="Calibri" w:eastAsia="Calibri" w:hAnsi="Calibri" w:cs="Calibri"/>
          <w:i/>
          <w:iCs/>
        </w:rPr>
        <w:t>available at</w:t>
      </w:r>
      <w:r>
        <w:t xml:space="preserve"> </w:t>
      </w:r>
      <w:hyperlink r:id="rId19" w:history="1">
        <w:r w:rsidRPr="00BE322F">
          <w:rPr>
            <w:rStyle w:val="Hyperlink"/>
          </w:rPr>
          <w:t>https://chlpi.org/wp-content/uploads/2013/12/Food-is-Medicine_Peer-Reviewed-Research-in-the-U.S.1.pdf</w:t>
        </w:r>
      </w:hyperlink>
      <w:r w:rsidR="00FB226E">
        <w:t xml:space="preserve">. </w:t>
      </w:r>
    </w:p>
  </w:footnote>
  <w:footnote w:id="25">
    <w:p w14:paraId="7E6DE7FC" w14:textId="7061B8FD" w:rsidR="00095F37" w:rsidRDefault="00095F37" w:rsidP="00095F37">
      <w:pPr>
        <w:pStyle w:val="FootnoteText"/>
      </w:pPr>
      <w:r>
        <w:rPr>
          <w:rStyle w:val="FootnoteReference"/>
        </w:rPr>
        <w:footnoteRef/>
      </w:r>
      <w:hyperlink r:id="rId20" w:history="1"/>
      <w:r w:rsidR="007A57E6" w:rsidRPr="007A57E6">
        <w:t xml:space="preserve"> Vermont State Health Improvement Plan, </w:t>
      </w:r>
      <w:r w:rsidR="007A57E6" w:rsidRPr="002805E1">
        <w:rPr>
          <w:i/>
        </w:rPr>
        <w:t>supra</w:t>
      </w:r>
      <w:r w:rsidR="007A57E6" w:rsidRPr="007A57E6">
        <w:t xml:space="preserve"> note </w:t>
      </w:r>
      <w:r w:rsidR="00473310">
        <w:t>21</w:t>
      </w:r>
      <w:r w:rsidR="007A57E6" w:rsidRPr="007A57E6">
        <w:t xml:space="preserve">, at </w:t>
      </w:r>
      <w:r w:rsidR="002805E1">
        <w:t>14</w:t>
      </w:r>
      <w:r w:rsidR="007A57E6" w:rsidRPr="007A57E6">
        <w:t>.</w:t>
      </w:r>
    </w:p>
  </w:footnote>
  <w:footnote w:id="26">
    <w:p w14:paraId="5969ADA0" w14:textId="2892B231" w:rsidR="00095F37" w:rsidRDefault="00095F37" w:rsidP="00095F37">
      <w:pPr>
        <w:pStyle w:val="FootnoteText"/>
      </w:pPr>
      <w:r>
        <w:rPr>
          <w:rStyle w:val="FootnoteReference"/>
        </w:rPr>
        <w:footnoteRef/>
      </w:r>
      <w:r w:rsidR="00B70215">
        <w:t xml:space="preserve"> America’s Health Insurance Plans, Issue Brief, </w:t>
      </w:r>
      <w:r w:rsidR="00512057">
        <w:t>Access to Healthy Foods: Social Determinants of Health</w:t>
      </w:r>
      <w:r>
        <w:t xml:space="preserve"> </w:t>
      </w:r>
      <w:r w:rsidR="00512057">
        <w:t>(May</w:t>
      </w:r>
      <w:r w:rsidR="00512057" w:rsidRPr="00512057">
        <w:t xml:space="preserve"> 2018</w:t>
      </w:r>
      <w:r w:rsidR="00512057">
        <w:t xml:space="preserve">), </w:t>
      </w:r>
      <w:r w:rsidR="00512057">
        <w:rPr>
          <w:i/>
          <w:iCs/>
        </w:rPr>
        <w:t xml:space="preserve">available at </w:t>
      </w:r>
      <w:hyperlink r:id="rId21" w:history="1">
        <w:r w:rsidRPr="00BE322F">
          <w:rPr>
            <w:rStyle w:val="Hyperlink"/>
          </w:rPr>
          <w:t>https://www.ahip.org/wp-content/uploads/2018/05/HealthyFoods_IssueBrief_4.18_FINAL.pdf</w:t>
        </w:r>
      </w:hyperlink>
      <w:r w:rsidR="00512057">
        <w:t xml:space="preserve">. </w:t>
      </w:r>
    </w:p>
  </w:footnote>
  <w:footnote w:id="27">
    <w:p w14:paraId="797E9AE9" w14:textId="4B98AF11" w:rsidR="00095F37" w:rsidRDefault="00095F37">
      <w:pPr>
        <w:pStyle w:val="FootnoteText"/>
      </w:pPr>
      <w:r>
        <w:rPr>
          <w:rStyle w:val="FootnoteReference"/>
        </w:rPr>
        <w:footnoteRef/>
      </w:r>
      <w:r>
        <w:t xml:space="preserve"> </w:t>
      </w:r>
      <w:r w:rsidR="007360BA" w:rsidRPr="007360BA">
        <w:t xml:space="preserve">Feeding America </w:t>
      </w:r>
      <w:r w:rsidR="00B674FA">
        <w:t>&amp;</w:t>
      </w:r>
      <w:r w:rsidR="007360BA" w:rsidRPr="007360BA">
        <w:t xml:space="preserve"> the National Foundation to End Senior Hunger</w:t>
      </w:r>
      <w:r w:rsidR="007360BA">
        <w:t xml:space="preserve">, </w:t>
      </w:r>
      <w:r w:rsidR="00DD5A7E">
        <w:t xml:space="preserve">The Health Consequences of Senior Hunger in the United States: Evidence from the 1999-2014 NHANES, </w:t>
      </w:r>
      <w:r w:rsidR="0079190D">
        <w:t xml:space="preserve">at </w:t>
      </w:r>
      <w:r w:rsidR="00A31EA0">
        <w:t>ii</w:t>
      </w:r>
      <w:r w:rsidR="0079190D">
        <w:t xml:space="preserve"> (Aug. 16, 2017)</w:t>
      </w:r>
      <w:r w:rsidR="005F19CE">
        <w:t xml:space="preserve">, </w:t>
      </w:r>
      <w:r w:rsidR="005F19CE">
        <w:rPr>
          <w:i/>
          <w:iCs/>
        </w:rPr>
        <w:t xml:space="preserve">available at </w:t>
      </w:r>
      <w:hyperlink r:id="rId22" w:history="1">
        <w:r w:rsidR="00CF60D7" w:rsidRPr="00000F4D">
          <w:rPr>
            <w:rStyle w:val="Hyperlink"/>
          </w:rPr>
          <w:t>https://www.feedingamerica.org/sites/default/files/research/senior-hunger-research/senior-health-consequences-2014.pdf</w:t>
        </w:r>
      </w:hyperlink>
      <w:r w:rsidR="00CF60D7">
        <w:t xml:space="preserve">. </w:t>
      </w:r>
    </w:p>
  </w:footnote>
  <w:footnote w:id="28">
    <w:p w14:paraId="1A5D68D9" w14:textId="2357DCE9" w:rsidR="000B4333" w:rsidRDefault="000B4333">
      <w:pPr>
        <w:pStyle w:val="FootnoteText"/>
      </w:pPr>
      <w:r>
        <w:rPr>
          <w:rStyle w:val="FootnoteReference"/>
        </w:rPr>
        <w:footnoteRef/>
      </w:r>
      <w:r>
        <w:t xml:space="preserve"> Insurers are allowed to offer non-standard plans</w:t>
      </w:r>
      <w:r w:rsidR="00DA1756">
        <w:t xml:space="preserve"> and</w:t>
      </w:r>
      <w:r w:rsidR="009A14CF">
        <w:t xml:space="preserve"> contain</w:t>
      </w:r>
      <w:r w:rsidR="00DA1756">
        <w:t xml:space="preserve"> benefits which can deviate from the standard benchmark plan </w:t>
      </w:r>
      <w:r w:rsidR="009A14CF">
        <w:t>benefit design</w:t>
      </w:r>
      <w:r w:rsidR="00DA1756">
        <w:t xml:space="preserve">. </w:t>
      </w:r>
      <w:r w:rsidR="00E16656">
        <w:rPr>
          <w:i/>
          <w:iCs/>
        </w:rPr>
        <w:t xml:space="preserve">See </w:t>
      </w:r>
      <w:r w:rsidR="00E16656">
        <w:t xml:space="preserve">33 V.S.A. § 1806. </w:t>
      </w:r>
    </w:p>
  </w:footnote>
  <w:footnote w:id="29">
    <w:p w14:paraId="51AB9A5A" w14:textId="545D940F" w:rsidR="00AB331F" w:rsidRDefault="00AB331F">
      <w:pPr>
        <w:pStyle w:val="FootnoteText"/>
      </w:pPr>
      <w:r>
        <w:rPr>
          <w:rStyle w:val="FootnoteReference"/>
        </w:rPr>
        <w:footnoteRef/>
      </w:r>
      <w:r>
        <w:t xml:space="preserve"> </w:t>
      </w:r>
      <w:r w:rsidR="00F17297">
        <w:t>Act 54 of 2015, Sec.</w:t>
      </w:r>
      <w:r w:rsidR="00F17297" w:rsidRPr="001859A8">
        <w:t xml:space="preserve"> </w:t>
      </w:r>
      <w:r w:rsidR="00F17297">
        <w:t xml:space="preserve">17, </w:t>
      </w:r>
      <w:r w:rsidR="00F17297">
        <w:rPr>
          <w:i/>
          <w:iCs/>
        </w:rPr>
        <w:t>available at</w:t>
      </w:r>
      <w:r w:rsidR="00EF6C6A">
        <w:rPr>
          <w:i/>
          <w:iCs/>
        </w:rPr>
        <w:t xml:space="preserve"> </w:t>
      </w:r>
      <w:hyperlink r:id="rId23" w:history="1">
        <w:r w:rsidR="00EF6C6A" w:rsidRPr="00000F4D">
          <w:rPr>
            <w:rStyle w:val="Hyperlink"/>
          </w:rPr>
          <w:t>https://legislature.vermont.gov/Documents/2016/Docs/ACTS/ACT054/ACT054%20As%20Enacted.pdf</w:t>
        </w:r>
      </w:hyperlink>
      <w:r w:rsidR="00EF6C6A">
        <w:t xml:space="preserve">. </w:t>
      </w:r>
    </w:p>
  </w:footnote>
  <w:footnote w:id="30">
    <w:p w14:paraId="4FAB7ED5" w14:textId="11863D38" w:rsidR="0034538A" w:rsidRDefault="0034538A">
      <w:pPr>
        <w:pStyle w:val="FootnoteText"/>
      </w:pPr>
      <w:r>
        <w:rPr>
          <w:rStyle w:val="FootnoteReference"/>
        </w:rPr>
        <w:footnoteRef/>
      </w:r>
      <w:r>
        <w:t xml:space="preserve"> </w:t>
      </w:r>
      <w:r w:rsidR="00C2407A" w:rsidRPr="00C2407A">
        <w:t>Shi L.</w:t>
      </w:r>
      <w:r w:rsidR="002447D3">
        <w:t>,</w:t>
      </w:r>
      <w:r w:rsidR="00C2407A" w:rsidRPr="00C2407A">
        <w:t xml:space="preserve"> </w:t>
      </w:r>
      <w:r w:rsidR="00C2407A" w:rsidRPr="00FF6B83">
        <w:rPr>
          <w:i/>
        </w:rPr>
        <w:t>The impact of primary care: a focused review</w:t>
      </w:r>
      <w:r w:rsidR="002447D3">
        <w:t>,</w:t>
      </w:r>
      <w:r w:rsidR="002447D3" w:rsidRPr="00C2407A">
        <w:t xml:space="preserve"> </w:t>
      </w:r>
      <w:r w:rsidR="00C2407A" w:rsidRPr="00C2407A">
        <w:t>Scientifica (Cairo</w:t>
      </w:r>
      <w:r w:rsidR="00B43B82" w:rsidRPr="00C2407A">
        <w:t>)</w:t>
      </w:r>
      <w:r w:rsidR="00B43B82">
        <w:t xml:space="preserve"> at </w:t>
      </w:r>
      <w:r w:rsidR="00B43B82" w:rsidRPr="00C2407A">
        <w:t>432892</w:t>
      </w:r>
      <w:r w:rsidR="00B43B82">
        <w:t xml:space="preserve"> </w:t>
      </w:r>
      <w:r w:rsidR="00957BDD">
        <w:t>(Dec. 31,</w:t>
      </w:r>
      <w:r w:rsidR="00B43B82" w:rsidRPr="00C2407A">
        <w:t xml:space="preserve"> </w:t>
      </w:r>
      <w:r w:rsidR="00C2407A" w:rsidRPr="00C2407A">
        <w:t>2012</w:t>
      </w:r>
      <w:r w:rsidR="00957BDD">
        <w:t>)</w:t>
      </w:r>
      <w:r w:rsidR="00C2407A" w:rsidRPr="002D3560">
        <w:rPr>
          <w:i/>
          <w:iCs/>
        </w:rPr>
        <w:t>, available at</w:t>
      </w:r>
      <w:r w:rsidR="002D3560">
        <w:t xml:space="preserve"> </w:t>
      </w:r>
      <w:hyperlink r:id="rId24" w:history="1">
        <w:r w:rsidR="002D3560" w:rsidRPr="00000F4D">
          <w:rPr>
            <w:rStyle w:val="Hyperlink"/>
          </w:rPr>
          <w:t>https://www.ncbi.nlm.nih.gov/pmc/articles/PMC3820521/</w:t>
        </w:r>
      </w:hyperlink>
      <w:r w:rsidR="002D3560">
        <w:t xml:space="preserve">. </w:t>
      </w:r>
    </w:p>
  </w:footnote>
  <w:footnote w:id="31">
    <w:p w14:paraId="127DD706" w14:textId="3390359B" w:rsidR="00672CD9" w:rsidRDefault="00672CD9">
      <w:pPr>
        <w:pStyle w:val="FootnoteText"/>
      </w:pPr>
      <w:r>
        <w:rPr>
          <w:rStyle w:val="FootnoteReference"/>
        </w:rPr>
        <w:footnoteRef/>
      </w:r>
      <w:r>
        <w:t xml:space="preserve"> </w:t>
      </w:r>
      <w:hyperlink r:id="rId25" w:history="1">
        <w:r w:rsidR="00331AE5" w:rsidRPr="00A070B8">
          <w:rPr>
            <w:i/>
          </w:rPr>
          <w:t>See</w:t>
        </w:r>
      </w:hyperlink>
      <w:r w:rsidR="00331AE5" w:rsidRPr="00A070B8">
        <w:rPr>
          <w:i/>
        </w:rPr>
        <w:t xml:space="preserve"> </w:t>
      </w:r>
      <w:r w:rsidR="00A070B8">
        <w:t>26 U.S.C. § 223</w:t>
      </w:r>
      <w:r w:rsidR="00E06C3D">
        <w:t xml:space="preserve">. </w:t>
      </w:r>
    </w:p>
  </w:footnote>
  <w:footnote w:id="32">
    <w:p w14:paraId="2EF35E22" w14:textId="3B990A7B" w:rsidR="004C3AB5" w:rsidRDefault="004C3AB5">
      <w:pPr>
        <w:pStyle w:val="FootnoteText"/>
      </w:pPr>
      <w:r>
        <w:rPr>
          <w:rStyle w:val="FootnoteReference"/>
        </w:rPr>
        <w:footnoteRef/>
      </w:r>
      <w:r>
        <w:t xml:space="preserve"> </w:t>
      </w:r>
      <w:r w:rsidR="00614170">
        <w:t xml:space="preserve">42 U.S.C. </w:t>
      </w:r>
      <w:r w:rsidR="00BC4844">
        <w:rPr>
          <w:rFonts w:cstheme="minorHAnsi"/>
        </w:rPr>
        <w:t>§</w:t>
      </w:r>
      <w:r w:rsidR="00A070B8">
        <w:t> </w:t>
      </w:r>
      <w:r w:rsidR="00BC4844">
        <w:t>18022</w:t>
      </w:r>
      <w:r w:rsidR="00E06C3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A634" w14:textId="77777777" w:rsidR="003B5FFC" w:rsidRDefault="003B5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A9D0" w14:textId="6A554018" w:rsidR="003B5FFC" w:rsidRDefault="003B5F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C16FD" w14:textId="77777777" w:rsidR="003B5FFC" w:rsidRDefault="003B5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E1FFF9"/>
    <w:multiLevelType w:val="hybridMultilevel"/>
    <w:tmpl w:val="6DAE90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472D9"/>
    <w:multiLevelType w:val="hybridMultilevel"/>
    <w:tmpl w:val="A28EC1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03DBA"/>
    <w:multiLevelType w:val="multilevel"/>
    <w:tmpl w:val="A93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024FA"/>
    <w:multiLevelType w:val="hybridMultilevel"/>
    <w:tmpl w:val="D4FA0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C6114"/>
    <w:multiLevelType w:val="hybridMultilevel"/>
    <w:tmpl w:val="EBD01A4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0A50FD"/>
    <w:multiLevelType w:val="hybridMultilevel"/>
    <w:tmpl w:val="7B12E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602034"/>
    <w:multiLevelType w:val="hybridMultilevel"/>
    <w:tmpl w:val="46D6E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0257C"/>
    <w:multiLevelType w:val="multilevel"/>
    <w:tmpl w:val="60CC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B522A0"/>
    <w:multiLevelType w:val="hybridMultilevel"/>
    <w:tmpl w:val="373EB960"/>
    <w:lvl w:ilvl="0" w:tplc="4B06A36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5384B05"/>
    <w:multiLevelType w:val="hybridMultilevel"/>
    <w:tmpl w:val="A6DAA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9F3D2C"/>
    <w:multiLevelType w:val="multilevel"/>
    <w:tmpl w:val="9556A2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0C6AC3"/>
    <w:multiLevelType w:val="hybridMultilevel"/>
    <w:tmpl w:val="06A2E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09373B"/>
    <w:multiLevelType w:val="hybridMultilevel"/>
    <w:tmpl w:val="32F0AB84"/>
    <w:lvl w:ilvl="0" w:tplc="94C25D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9E0030"/>
    <w:multiLevelType w:val="hybridMultilevel"/>
    <w:tmpl w:val="D0503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E0E53"/>
    <w:multiLevelType w:val="hybridMultilevel"/>
    <w:tmpl w:val="4C280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CF78B4"/>
    <w:multiLevelType w:val="hybridMultilevel"/>
    <w:tmpl w:val="85DE3626"/>
    <w:lvl w:ilvl="0" w:tplc="F81A8D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2E6405"/>
    <w:multiLevelType w:val="multilevel"/>
    <w:tmpl w:val="E742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473E76"/>
    <w:multiLevelType w:val="hybridMultilevel"/>
    <w:tmpl w:val="E10AE10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2"/>
  </w:num>
  <w:num w:numId="4">
    <w:abstractNumId w:val="4"/>
  </w:num>
  <w:num w:numId="5">
    <w:abstractNumId w:val="11"/>
  </w:num>
  <w:num w:numId="6">
    <w:abstractNumId w:val="13"/>
  </w:num>
  <w:num w:numId="7">
    <w:abstractNumId w:val="1"/>
  </w:num>
  <w:num w:numId="8">
    <w:abstractNumId w:val="17"/>
  </w:num>
  <w:num w:numId="9">
    <w:abstractNumId w:val="8"/>
  </w:num>
  <w:num w:numId="10">
    <w:abstractNumId w:val="2"/>
  </w:num>
  <w:num w:numId="11">
    <w:abstractNumId w:val="16"/>
  </w:num>
  <w:num w:numId="12">
    <w:abstractNumId w:val="10"/>
  </w:num>
  <w:num w:numId="13">
    <w:abstractNumId w:val="3"/>
  </w:num>
  <w:num w:numId="14">
    <w:abstractNumId w:val="7"/>
  </w:num>
  <w:num w:numId="15">
    <w:abstractNumId w:val="15"/>
  </w:num>
  <w:num w:numId="16">
    <w:abstractNumId w:val="6"/>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A4F"/>
    <w:rsid w:val="00000209"/>
    <w:rsid w:val="0000030B"/>
    <w:rsid w:val="0000075E"/>
    <w:rsid w:val="00001387"/>
    <w:rsid w:val="000013CE"/>
    <w:rsid w:val="00001BF3"/>
    <w:rsid w:val="00002A34"/>
    <w:rsid w:val="0000315C"/>
    <w:rsid w:val="00003E2A"/>
    <w:rsid w:val="00004666"/>
    <w:rsid w:val="00004C9D"/>
    <w:rsid w:val="0000525B"/>
    <w:rsid w:val="0000678A"/>
    <w:rsid w:val="00007B26"/>
    <w:rsid w:val="00007D02"/>
    <w:rsid w:val="000107AB"/>
    <w:rsid w:val="000119C3"/>
    <w:rsid w:val="000120A2"/>
    <w:rsid w:val="000133D0"/>
    <w:rsid w:val="00013791"/>
    <w:rsid w:val="00014A55"/>
    <w:rsid w:val="00014E77"/>
    <w:rsid w:val="00017B82"/>
    <w:rsid w:val="0002086A"/>
    <w:rsid w:val="00021AE5"/>
    <w:rsid w:val="00021B2B"/>
    <w:rsid w:val="00022029"/>
    <w:rsid w:val="00022428"/>
    <w:rsid w:val="00024425"/>
    <w:rsid w:val="00026FF3"/>
    <w:rsid w:val="0002755D"/>
    <w:rsid w:val="00027BCD"/>
    <w:rsid w:val="000302E1"/>
    <w:rsid w:val="000308AC"/>
    <w:rsid w:val="00030F88"/>
    <w:rsid w:val="000316C7"/>
    <w:rsid w:val="0003452E"/>
    <w:rsid w:val="00034791"/>
    <w:rsid w:val="00034A51"/>
    <w:rsid w:val="00034B30"/>
    <w:rsid w:val="000357A3"/>
    <w:rsid w:val="00035DF9"/>
    <w:rsid w:val="0003795B"/>
    <w:rsid w:val="00042A76"/>
    <w:rsid w:val="00043D9E"/>
    <w:rsid w:val="00043E4C"/>
    <w:rsid w:val="00044144"/>
    <w:rsid w:val="0004501F"/>
    <w:rsid w:val="0004786D"/>
    <w:rsid w:val="00047A46"/>
    <w:rsid w:val="00047B0B"/>
    <w:rsid w:val="0005070B"/>
    <w:rsid w:val="00051BDD"/>
    <w:rsid w:val="00052743"/>
    <w:rsid w:val="000528EA"/>
    <w:rsid w:val="00053378"/>
    <w:rsid w:val="000547BB"/>
    <w:rsid w:val="000547E5"/>
    <w:rsid w:val="0005498C"/>
    <w:rsid w:val="00056808"/>
    <w:rsid w:val="00056CB2"/>
    <w:rsid w:val="00056EC4"/>
    <w:rsid w:val="000570D0"/>
    <w:rsid w:val="00061056"/>
    <w:rsid w:val="000612AE"/>
    <w:rsid w:val="00061847"/>
    <w:rsid w:val="00061E5E"/>
    <w:rsid w:val="00062CEB"/>
    <w:rsid w:val="00062FC1"/>
    <w:rsid w:val="000650F9"/>
    <w:rsid w:val="00065B98"/>
    <w:rsid w:val="0006626E"/>
    <w:rsid w:val="000667FC"/>
    <w:rsid w:val="00066AF4"/>
    <w:rsid w:val="0007027A"/>
    <w:rsid w:val="00070B2E"/>
    <w:rsid w:val="000713E5"/>
    <w:rsid w:val="0007367A"/>
    <w:rsid w:val="00073B7F"/>
    <w:rsid w:val="00073D78"/>
    <w:rsid w:val="00073E0E"/>
    <w:rsid w:val="00073E39"/>
    <w:rsid w:val="00073E91"/>
    <w:rsid w:val="000741A9"/>
    <w:rsid w:val="0007454B"/>
    <w:rsid w:val="000751E3"/>
    <w:rsid w:val="00075531"/>
    <w:rsid w:val="00075C38"/>
    <w:rsid w:val="00075C72"/>
    <w:rsid w:val="0007710B"/>
    <w:rsid w:val="00080858"/>
    <w:rsid w:val="00080CC1"/>
    <w:rsid w:val="00080F73"/>
    <w:rsid w:val="000817E1"/>
    <w:rsid w:val="00082EE7"/>
    <w:rsid w:val="00082F6D"/>
    <w:rsid w:val="0008370C"/>
    <w:rsid w:val="00083A2B"/>
    <w:rsid w:val="00083A7E"/>
    <w:rsid w:val="00085942"/>
    <w:rsid w:val="00085B2E"/>
    <w:rsid w:val="00090609"/>
    <w:rsid w:val="00090EBC"/>
    <w:rsid w:val="000911D8"/>
    <w:rsid w:val="000913DB"/>
    <w:rsid w:val="00091D54"/>
    <w:rsid w:val="00091FDB"/>
    <w:rsid w:val="0009352A"/>
    <w:rsid w:val="00093EAC"/>
    <w:rsid w:val="00093F00"/>
    <w:rsid w:val="00094ACB"/>
    <w:rsid w:val="000953AA"/>
    <w:rsid w:val="0009542F"/>
    <w:rsid w:val="0009566E"/>
    <w:rsid w:val="000956A3"/>
    <w:rsid w:val="00095F37"/>
    <w:rsid w:val="00096057"/>
    <w:rsid w:val="00096FBF"/>
    <w:rsid w:val="00096FE0"/>
    <w:rsid w:val="000A0F4D"/>
    <w:rsid w:val="000A1603"/>
    <w:rsid w:val="000A163A"/>
    <w:rsid w:val="000A1837"/>
    <w:rsid w:val="000A1947"/>
    <w:rsid w:val="000A241A"/>
    <w:rsid w:val="000A2996"/>
    <w:rsid w:val="000A2C81"/>
    <w:rsid w:val="000A3CF7"/>
    <w:rsid w:val="000A52C1"/>
    <w:rsid w:val="000A6CE2"/>
    <w:rsid w:val="000A6E84"/>
    <w:rsid w:val="000A7820"/>
    <w:rsid w:val="000A7EED"/>
    <w:rsid w:val="000B0EF2"/>
    <w:rsid w:val="000B1AC2"/>
    <w:rsid w:val="000B1C33"/>
    <w:rsid w:val="000B24B8"/>
    <w:rsid w:val="000B2DB6"/>
    <w:rsid w:val="000B31D4"/>
    <w:rsid w:val="000B4333"/>
    <w:rsid w:val="000B465A"/>
    <w:rsid w:val="000B4891"/>
    <w:rsid w:val="000B5A63"/>
    <w:rsid w:val="000C0784"/>
    <w:rsid w:val="000C18D5"/>
    <w:rsid w:val="000C26F2"/>
    <w:rsid w:val="000C450A"/>
    <w:rsid w:val="000C6B02"/>
    <w:rsid w:val="000C73CC"/>
    <w:rsid w:val="000C7B6B"/>
    <w:rsid w:val="000C7F3D"/>
    <w:rsid w:val="000C7FDE"/>
    <w:rsid w:val="000D161F"/>
    <w:rsid w:val="000D29EA"/>
    <w:rsid w:val="000D2FE2"/>
    <w:rsid w:val="000D3E71"/>
    <w:rsid w:val="000D5C82"/>
    <w:rsid w:val="000D6313"/>
    <w:rsid w:val="000D6431"/>
    <w:rsid w:val="000D6B52"/>
    <w:rsid w:val="000D7A0F"/>
    <w:rsid w:val="000E0649"/>
    <w:rsid w:val="000E14FC"/>
    <w:rsid w:val="000E1B38"/>
    <w:rsid w:val="000E3E68"/>
    <w:rsid w:val="000E4A80"/>
    <w:rsid w:val="000E4ABF"/>
    <w:rsid w:val="000E66E0"/>
    <w:rsid w:val="000E6DE0"/>
    <w:rsid w:val="000E7475"/>
    <w:rsid w:val="000E7D47"/>
    <w:rsid w:val="000F02B5"/>
    <w:rsid w:val="000F1E9A"/>
    <w:rsid w:val="000F1F51"/>
    <w:rsid w:val="000F21D3"/>
    <w:rsid w:val="000F3079"/>
    <w:rsid w:val="000F30A7"/>
    <w:rsid w:val="000F3165"/>
    <w:rsid w:val="000F331A"/>
    <w:rsid w:val="000F3A75"/>
    <w:rsid w:val="000F3CDF"/>
    <w:rsid w:val="000F41E1"/>
    <w:rsid w:val="000F6473"/>
    <w:rsid w:val="000F74AB"/>
    <w:rsid w:val="000F7D9B"/>
    <w:rsid w:val="001005CA"/>
    <w:rsid w:val="00101DD1"/>
    <w:rsid w:val="00101E84"/>
    <w:rsid w:val="00104B77"/>
    <w:rsid w:val="00105063"/>
    <w:rsid w:val="0010554E"/>
    <w:rsid w:val="00105E52"/>
    <w:rsid w:val="00107642"/>
    <w:rsid w:val="0010773A"/>
    <w:rsid w:val="00107CEE"/>
    <w:rsid w:val="00110047"/>
    <w:rsid w:val="00110281"/>
    <w:rsid w:val="0011037A"/>
    <w:rsid w:val="00111192"/>
    <w:rsid w:val="001115E0"/>
    <w:rsid w:val="00111AC0"/>
    <w:rsid w:val="0011274C"/>
    <w:rsid w:val="00113880"/>
    <w:rsid w:val="00113FF8"/>
    <w:rsid w:val="001152DA"/>
    <w:rsid w:val="0011551E"/>
    <w:rsid w:val="00115905"/>
    <w:rsid w:val="001161D4"/>
    <w:rsid w:val="00116AD0"/>
    <w:rsid w:val="001172A6"/>
    <w:rsid w:val="00120D94"/>
    <w:rsid w:val="00122B2A"/>
    <w:rsid w:val="001230DD"/>
    <w:rsid w:val="001231AD"/>
    <w:rsid w:val="00123D61"/>
    <w:rsid w:val="00124661"/>
    <w:rsid w:val="001249A9"/>
    <w:rsid w:val="0012575F"/>
    <w:rsid w:val="001278AE"/>
    <w:rsid w:val="00127A3C"/>
    <w:rsid w:val="00127FDF"/>
    <w:rsid w:val="0013011C"/>
    <w:rsid w:val="00132FAD"/>
    <w:rsid w:val="001330C4"/>
    <w:rsid w:val="001333FF"/>
    <w:rsid w:val="00133A0D"/>
    <w:rsid w:val="00133B35"/>
    <w:rsid w:val="00133C2A"/>
    <w:rsid w:val="00134EE8"/>
    <w:rsid w:val="00135240"/>
    <w:rsid w:val="00136663"/>
    <w:rsid w:val="00136CC7"/>
    <w:rsid w:val="00137852"/>
    <w:rsid w:val="00142899"/>
    <w:rsid w:val="00142959"/>
    <w:rsid w:val="0014350F"/>
    <w:rsid w:val="00143E31"/>
    <w:rsid w:val="0014447D"/>
    <w:rsid w:val="00145390"/>
    <w:rsid w:val="0014546C"/>
    <w:rsid w:val="00145EBD"/>
    <w:rsid w:val="0015003F"/>
    <w:rsid w:val="0015052E"/>
    <w:rsid w:val="00150855"/>
    <w:rsid w:val="00150D03"/>
    <w:rsid w:val="00151035"/>
    <w:rsid w:val="00152538"/>
    <w:rsid w:val="00153117"/>
    <w:rsid w:val="0015327F"/>
    <w:rsid w:val="001540D8"/>
    <w:rsid w:val="0015504E"/>
    <w:rsid w:val="00155C48"/>
    <w:rsid w:val="001567D9"/>
    <w:rsid w:val="00156F47"/>
    <w:rsid w:val="00157519"/>
    <w:rsid w:val="00157A9F"/>
    <w:rsid w:val="00157BFA"/>
    <w:rsid w:val="00160462"/>
    <w:rsid w:val="00160671"/>
    <w:rsid w:val="00160AAE"/>
    <w:rsid w:val="00160C44"/>
    <w:rsid w:val="0016287B"/>
    <w:rsid w:val="00162CEE"/>
    <w:rsid w:val="001637D6"/>
    <w:rsid w:val="00164109"/>
    <w:rsid w:val="0016468C"/>
    <w:rsid w:val="00165EF5"/>
    <w:rsid w:val="0016754C"/>
    <w:rsid w:val="00167D97"/>
    <w:rsid w:val="001709D2"/>
    <w:rsid w:val="00170F8C"/>
    <w:rsid w:val="0017186C"/>
    <w:rsid w:val="001719E5"/>
    <w:rsid w:val="00171D87"/>
    <w:rsid w:val="00171FE6"/>
    <w:rsid w:val="00174612"/>
    <w:rsid w:val="00175176"/>
    <w:rsid w:val="001840A7"/>
    <w:rsid w:val="0018421F"/>
    <w:rsid w:val="00184B52"/>
    <w:rsid w:val="00184E4C"/>
    <w:rsid w:val="001859A8"/>
    <w:rsid w:val="00186222"/>
    <w:rsid w:val="001875CE"/>
    <w:rsid w:val="00187E1C"/>
    <w:rsid w:val="00190096"/>
    <w:rsid w:val="0019121B"/>
    <w:rsid w:val="001916FE"/>
    <w:rsid w:val="00191B3F"/>
    <w:rsid w:val="001920D9"/>
    <w:rsid w:val="001928FA"/>
    <w:rsid w:val="00194EC3"/>
    <w:rsid w:val="001950FA"/>
    <w:rsid w:val="00195A7B"/>
    <w:rsid w:val="00197FBC"/>
    <w:rsid w:val="001A0244"/>
    <w:rsid w:val="001A0519"/>
    <w:rsid w:val="001A076D"/>
    <w:rsid w:val="001A0F1D"/>
    <w:rsid w:val="001A261F"/>
    <w:rsid w:val="001A3DC5"/>
    <w:rsid w:val="001A40CA"/>
    <w:rsid w:val="001A550D"/>
    <w:rsid w:val="001A6A1A"/>
    <w:rsid w:val="001A7034"/>
    <w:rsid w:val="001A7A57"/>
    <w:rsid w:val="001B0942"/>
    <w:rsid w:val="001B1585"/>
    <w:rsid w:val="001B165F"/>
    <w:rsid w:val="001B1EF5"/>
    <w:rsid w:val="001B228C"/>
    <w:rsid w:val="001B27BA"/>
    <w:rsid w:val="001B3FDF"/>
    <w:rsid w:val="001B4857"/>
    <w:rsid w:val="001B5263"/>
    <w:rsid w:val="001B6320"/>
    <w:rsid w:val="001B63FB"/>
    <w:rsid w:val="001B7A18"/>
    <w:rsid w:val="001C0D73"/>
    <w:rsid w:val="001C14D8"/>
    <w:rsid w:val="001C207E"/>
    <w:rsid w:val="001C246D"/>
    <w:rsid w:val="001C24B5"/>
    <w:rsid w:val="001C2852"/>
    <w:rsid w:val="001C46F3"/>
    <w:rsid w:val="001C6C6D"/>
    <w:rsid w:val="001D0055"/>
    <w:rsid w:val="001D0F54"/>
    <w:rsid w:val="001D17AB"/>
    <w:rsid w:val="001D1EC6"/>
    <w:rsid w:val="001D21C9"/>
    <w:rsid w:val="001D3FDF"/>
    <w:rsid w:val="001D40AD"/>
    <w:rsid w:val="001D4409"/>
    <w:rsid w:val="001D4B74"/>
    <w:rsid w:val="001D515C"/>
    <w:rsid w:val="001E094A"/>
    <w:rsid w:val="001E1375"/>
    <w:rsid w:val="001E1AF1"/>
    <w:rsid w:val="001E1D43"/>
    <w:rsid w:val="001E2E0D"/>
    <w:rsid w:val="001E2E42"/>
    <w:rsid w:val="001E376B"/>
    <w:rsid w:val="001E60D9"/>
    <w:rsid w:val="001E7781"/>
    <w:rsid w:val="001F0BB1"/>
    <w:rsid w:val="001F1079"/>
    <w:rsid w:val="001F14D6"/>
    <w:rsid w:val="001F1D4F"/>
    <w:rsid w:val="001F1FAC"/>
    <w:rsid w:val="001F278F"/>
    <w:rsid w:val="001F2C2A"/>
    <w:rsid w:val="001F3043"/>
    <w:rsid w:val="001F3229"/>
    <w:rsid w:val="001F41AE"/>
    <w:rsid w:val="001F5C17"/>
    <w:rsid w:val="001F5CEA"/>
    <w:rsid w:val="001F6CE6"/>
    <w:rsid w:val="0020043F"/>
    <w:rsid w:val="00200536"/>
    <w:rsid w:val="002006B1"/>
    <w:rsid w:val="00201163"/>
    <w:rsid w:val="00201374"/>
    <w:rsid w:val="002017D1"/>
    <w:rsid w:val="0020188A"/>
    <w:rsid w:val="00202FA1"/>
    <w:rsid w:val="00203566"/>
    <w:rsid w:val="0020496C"/>
    <w:rsid w:val="0020740E"/>
    <w:rsid w:val="00207846"/>
    <w:rsid w:val="00210981"/>
    <w:rsid w:val="00210F95"/>
    <w:rsid w:val="00211828"/>
    <w:rsid w:val="0021338E"/>
    <w:rsid w:val="002134D8"/>
    <w:rsid w:val="00213544"/>
    <w:rsid w:val="002137F3"/>
    <w:rsid w:val="00213E15"/>
    <w:rsid w:val="00214295"/>
    <w:rsid w:val="002157C1"/>
    <w:rsid w:val="00215A01"/>
    <w:rsid w:val="00216179"/>
    <w:rsid w:val="0021720A"/>
    <w:rsid w:val="002204BC"/>
    <w:rsid w:val="00222B1C"/>
    <w:rsid w:val="0022361B"/>
    <w:rsid w:val="0022368C"/>
    <w:rsid w:val="002239DA"/>
    <w:rsid w:val="00224890"/>
    <w:rsid w:val="00224FA4"/>
    <w:rsid w:val="00225239"/>
    <w:rsid w:val="002257A1"/>
    <w:rsid w:val="002265A5"/>
    <w:rsid w:val="0022665B"/>
    <w:rsid w:val="00230463"/>
    <w:rsid w:val="002309BC"/>
    <w:rsid w:val="002310AF"/>
    <w:rsid w:val="002318B8"/>
    <w:rsid w:val="00231A80"/>
    <w:rsid w:val="00232CAE"/>
    <w:rsid w:val="00233A42"/>
    <w:rsid w:val="00233B30"/>
    <w:rsid w:val="00233D09"/>
    <w:rsid w:val="0023680A"/>
    <w:rsid w:val="002368CA"/>
    <w:rsid w:val="002374A5"/>
    <w:rsid w:val="00237AA8"/>
    <w:rsid w:val="002403AC"/>
    <w:rsid w:val="0024088C"/>
    <w:rsid w:val="00242728"/>
    <w:rsid w:val="002445D2"/>
    <w:rsid w:val="002447D3"/>
    <w:rsid w:val="00246E45"/>
    <w:rsid w:val="0024769F"/>
    <w:rsid w:val="002479BF"/>
    <w:rsid w:val="002525BF"/>
    <w:rsid w:val="00253012"/>
    <w:rsid w:val="00253E62"/>
    <w:rsid w:val="002546D3"/>
    <w:rsid w:val="00254B3A"/>
    <w:rsid w:val="0025576A"/>
    <w:rsid w:val="00255A68"/>
    <w:rsid w:val="00256019"/>
    <w:rsid w:val="00260486"/>
    <w:rsid w:val="00260C31"/>
    <w:rsid w:val="00260E50"/>
    <w:rsid w:val="0026130D"/>
    <w:rsid w:val="00262B2A"/>
    <w:rsid w:val="002638AE"/>
    <w:rsid w:val="00264A14"/>
    <w:rsid w:val="00264B30"/>
    <w:rsid w:val="00264FB7"/>
    <w:rsid w:val="00265AB1"/>
    <w:rsid w:val="002670AA"/>
    <w:rsid w:val="002700E3"/>
    <w:rsid w:val="00270557"/>
    <w:rsid w:val="002707A6"/>
    <w:rsid w:val="00271AD2"/>
    <w:rsid w:val="00271CD8"/>
    <w:rsid w:val="002734D2"/>
    <w:rsid w:val="00273625"/>
    <w:rsid w:val="00274378"/>
    <w:rsid w:val="002746C0"/>
    <w:rsid w:val="00274AC8"/>
    <w:rsid w:val="002750EA"/>
    <w:rsid w:val="0027550F"/>
    <w:rsid w:val="00276170"/>
    <w:rsid w:val="002764CA"/>
    <w:rsid w:val="00276C52"/>
    <w:rsid w:val="00276D64"/>
    <w:rsid w:val="0028018C"/>
    <w:rsid w:val="002805E1"/>
    <w:rsid w:val="002815DA"/>
    <w:rsid w:val="00281788"/>
    <w:rsid w:val="00281A8B"/>
    <w:rsid w:val="00281CA4"/>
    <w:rsid w:val="002832AC"/>
    <w:rsid w:val="00283974"/>
    <w:rsid w:val="0028737C"/>
    <w:rsid w:val="00287AAF"/>
    <w:rsid w:val="00290524"/>
    <w:rsid w:val="002906C0"/>
    <w:rsid w:val="002916A3"/>
    <w:rsid w:val="00291F28"/>
    <w:rsid w:val="002924F9"/>
    <w:rsid w:val="00292CB1"/>
    <w:rsid w:val="002930D8"/>
    <w:rsid w:val="002939CF"/>
    <w:rsid w:val="00293D62"/>
    <w:rsid w:val="00295130"/>
    <w:rsid w:val="00295683"/>
    <w:rsid w:val="00295BBF"/>
    <w:rsid w:val="00295F7E"/>
    <w:rsid w:val="0029626D"/>
    <w:rsid w:val="002967AC"/>
    <w:rsid w:val="00296B44"/>
    <w:rsid w:val="00296F0D"/>
    <w:rsid w:val="002A0743"/>
    <w:rsid w:val="002A2D1C"/>
    <w:rsid w:val="002A31D9"/>
    <w:rsid w:val="002A35F7"/>
    <w:rsid w:val="002A4A4C"/>
    <w:rsid w:val="002A5FFF"/>
    <w:rsid w:val="002A6D71"/>
    <w:rsid w:val="002A7238"/>
    <w:rsid w:val="002A78B4"/>
    <w:rsid w:val="002B040B"/>
    <w:rsid w:val="002B128C"/>
    <w:rsid w:val="002B1987"/>
    <w:rsid w:val="002B264F"/>
    <w:rsid w:val="002B2B32"/>
    <w:rsid w:val="002B2F90"/>
    <w:rsid w:val="002B32E5"/>
    <w:rsid w:val="002B3ED0"/>
    <w:rsid w:val="002B3FE6"/>
    <w:rsid w:val="002B4AEB"/>
    <w:rsid w:val="002B5200"/>
    <w:rsid w:val="002B6B3F"/>
    <w:rsid w:val="002B70C3"/>
    <w:rsid w:val="002B7104"/>
    <w:rsid w:val="002B7A26"/>
    <w:rsid w:val="002C0232"/>
    <w:rsid w:val="002C06F7"/>
    <w:rsid w:val="002C1AFB"/>
    <w:rsid w:val="002C1D5E"/>
    <w:rsid w:val="002C2CCD"/>
    <w:rsid w:val="002C2F25"/>
    <w:rsid w:val="002C32F6"/>
    <w:rsid w:val="002C3629"/>
    <w:rsid w:val="002C3E6E"/>
    <w:rsid w:val="002C4040"/>
    <w:rsid w:val="002C526A"/>
    <w:rsid w:val="002C5A4F"/>
    <w:rsid w:val="002C60BB"/>
    <w:rsid w:val="002C7014"/>
    <w:rsid w:val="002C7399"/>
    <w:rsid w:val="002C75B2"/>
    <w:rsid w:val="002C76CA"/>
    <w:rsid w:val="002C7A07"/>
    <w:rsid w:val="002C7C7D"/>
    <w:rsid w:val="002D0690"/>
    <w:rsid w:val="002D0958"/>
    <w:rsid w:val="002D0FDD"/>
    <w:rsid w:val="002D1469"/>
    <w:rsid w:val="002D24CB"/>
    <w:rsid w:val="002D31AB"/>
    <w:rsid w:val="002D355F"/>
    <w:rsid w:val="002D3560"/>
    <w:rsid w:val="002D4C6E"/>
    <w:rsid w:val="002D592D"/>
    <w:rsid w:val="002D5DAF"/>
    <w:rsid w:val="002D7372"/>
    <w:rsid w:val="002E15ED"/>
    <w:rsid w:val="002E1DBD"/>
    <w:rsid w:val="002E355B"/>
    <w:rsid w:val="002E35AD"/>
    <w:rsid w:val="002E63D3"/>
    <w:rsid w:val="002E690E"/>
    <w:rsid w:val="002E69B8"/>
    <w:rsid w:val="002E6C92"/>
    <w:rsid w:val="002E76CC"/>
    <w:rsid w:val="002F18B9"/>
    <w:rsid w:val="002F1948"/>
    <w:rsid w:val="002F1A85"/>
    <w:rsid w:val="002F1BFB"/>
    <w:rsid w:val="002F1CBC"/>
    <w:rsid w:val="002F2BAC"/>
    <w:rsid w:val="002F2D28"/>
    <w:rsid w:val="002F2E21"/>
    <w:rsid w:val="002F3EEA"/>
    <w:rsid w:val="002F4806"/>
    <w:rsid w:val="002F5645"/>
    <w:rsid w:val="002F6866"/>
    <w:rsid w:val="002F7820"/>
    <w:rsid w:val="002F7DBB"/>
    <w:rsid w:val="0030055D"/>
    <w:rsid w:val="00301AFB"/>
    <w:rsid w:val="00301BF4"/>
    <w:rsid w:val="00301DA9"/>
    <w:rsid w:val="00302520"/>
    <w:rsid w:val="003027EE"/>
    <w:rsid w:val="00303EDF"/>
    <w:rsid w:val="00304F62"/>
    <w:rsid w:val="0030597C"/>
    <w:rsid w:val="00306151"/>
    <w:rsid w:val="003068FC"/>
    <w:rsid w:val="00306E72"/>
    <w:rsid w:val="00306FB7"/>
    <w:rsid w:val="00306FE3"/>
    <w:rsid w:val="00307520"/>
    <w:rsid w:val="0030769B"/>
    <w:rsid w:val="003079E8"/>
    <w:rsid w:val="00307E8B"/>
    <w:rsid w:val="00311017"/>
    <w:rsid w:val="00312367"/>
    <w:rsid w:val="003129BE"/>
    <w:rsid w:val="00313645"/>
    <w:rsid w:val="003145E3"/>
    <w:rsid w:val="00314860"/>
    <w:rsid w:val="003149FD"/>
    <w:rsid w:val="00314FDF"/>
    <w:rsid w:val="00315B58"/>
    <w:rsid w:val="00316153"/>
    <w:rsid w:val="0031655E"/>
    <w:rsid w:val="00316C55"/>
    <w:rsid w:val="00317775"/>
    <w:rsid w:val="003177CB"/>
    <w:rsid w:val="00317CFD"/>
    <w:rsid w:val="00320F43"/>
    <w:rsid w:val="003214C8"/>
    <w:rsid w:val="00322462"/>
    <w:rsid w:val="0032260E"/>
    <w:rsid w:val="0032365E"/>
    <w:rsid w:val="00323944"/>
    <w:rsid w:val="00323A3C"/>
    <w:rsid w:val="0032500E"/>
    <w:rsid w:val="0032700D"/>
    <w:rsid w:val="003270BB"/>
    <w:rsid w:val="0032797F"/>
    <w:rsid w:val="003279E9"/>
    <w:rsid w:val="00327B13"/>
    <w:rsid w:val="0033121C"/>
    <w:rsid w:val="00331AE5"/>
    <w:rsid w:val="00333054"/>
    <w:rsid w:val="00333714"/>
    <w:rsid w:val="00334618"/>
    <w:rsid w:val="0033549C"/>
    <w:rsid w:val="003370B7"/>
    <w:rsid w:val="003402FB"/>
    <w:rsid w:val="003409E1"/>
    <w:rsid w:val="00340DAD"/>
    <w:rsid w:val="00342227"/>
    <w:rsid w:val="003435A4"/>
    <w:rsid w:val="003437A7"/>
    <w:rsid w:val="0034396B"/>
    <w:rsid w:val="003440B7"/>
    <w:rsid w:val="0034411B"/>
    <w:rsid w:val="00344ACD"/>
    <w:rsid w:val="00344E28"/>
    <w:rsid w:val="00344F44"/>
    <w:rsid w:val="0034538A"/>
    <w:rsid w:val="003457DE"/>
    <w:rsid w:val="003462E9"/>
    <w:rsid w:val="00346865"/>
    <w:rsid w:val="00346E30"/>
    <w:rsid w:val="00346E46"/>
    <w:rsid w:val="003476EB"/>
    <w:rsid w:val="003478BC"/>
    <w:rsid w:val="00350239"/>
    <w:rsid w:val="003503F5"/>
    <w:rsid w:val="0035084B"/>
    <w:rsid w:val="00350E6D"/>
    <w:rsid w:val="00351086"/>
    <w:rsid w:val="00351629"/>
    <w:rsid w:val="00351B57"/>
    <w:rsid w:val="00351BCE"/>
    <w:rsid w:val="0035236C"/>
    <w:rsid w:val="0035286F"/>
    <w:rsid w:val="00353814"/>
    <w:rsid w:val="00354309"/>
    <w:rsid w:val="00354FA3"/>
    <w:rsid w:val="0035541E"/>
    <w:rsid w:val="00356529"/>
    <w:rsid w:val="00357048"/>
    <w:rsid w:val="00361A32"/>
    <w:rsid w:val="00361CE3"/>
    <w:rsid w:val="00362D4B"/>
    <w:rsid w:val="00363DC8"/>
    <w:rsid w:val="00363E91"/>
    <w:rsid w:val="00364778"/>
    <w:rsid w:val="003666D5"/>
    <w:rsid w:val="003666EC"/>
    <w:rsid w:val="00366ABD"/>
    <w:rsid w:val="00366FC9"/>
    <w:rsid w:val="00367505"/>
    <w:rsid w:val="00370678"/>
    <w:rsid w:val="003717B2"/>
    <w:rsid w:val="00372538"/>
    <w:rsid w:val="00374032"/>
    <w:rsid w:val="0037441F"/>
    <w:rsid w:val="003759CD"/>
    <w:rsid w:val="00375ADE"/>
    <w:rsid w:val="00376B8B"/>
    <w:rsid w:val="00380794"/>
    <w:rsid w:val="003821F2"/>
    <w:rsid w:val="00383C8F"/>
    <w:rsid w:val="00386273"/>
    <w:rsid w:val="003865B4"/>
    <w:rsid w:val="00386D5B"/>
    <w:rsid w:val="00386DF9"/>
    <w:rsid w:val="003871ED"/>
    <w:rsid w:val="00387262"/>
    <w:rsid w:val="003872A6"/>
    <w:rsid w:val="00390DF0"/>
    <w:rsid w:val="00390F5D"/>
    <w:rsid w:val="003911ED"/>
    <w:rsid w:val="003912EF"/>
    <w:rsid w:val="0039149B"/>
    <w:rsid w:val="003928AB"/>
    <w:rsid w:val="003936D1"/>
    <w:rsid w:val="00395DC4"/>
    <w:rsid w:val="003963A7"/>
    <w:rsid w:val="00397967"/>
    <w:rsid w:val="003A021A"/>
    <w:rsid w:val="003A044E"/>
    <w:rsid w:val="003A16EB"/>
    <w:rsid w:val="003A2AB0"/>
    <w:rsid w:val="003A4395"/>
    <w:rsid w:val="003A4D83"/>
    <w:rsid w:val="003A4DC1"/>
    <w:rsid w:val="003A4F7B"/>
    <w:rsid w:val="003A57C3"/>
    <w:rsid w:val="003A6307"/>
    <w:rsid w:val="003A64DC"/>
    <w:rsid w:val="003B28A0"/>
    <w:rsid w:val="003B361B"/>
    <w:rsid w:val="003B4ADF"/>
    <w:rsid w:val="003B4D95"/>
    <w:rsid w:val="003B5FFC"/>
    <w:rsid w:val="003B656D"/>
    <w:rsid w:val="003B77FB"/>
    <w:rsid w:val="003C0FD9"/>
    <w:rsid w:val="003C1E87"/>
    <w:rsid w:val="003C2FD3"/>
    <w:rsid w:val="003C3370"/>
    <w:rsid w:val="003C500D"/>
    <w:rsid w:val="003C589C"/>
    <w:rsid w:val="003C5B73"/>
    <w:rsid w:val="003C6554"/>
    <w:rsid w:val="003C721F"/>
    <w:rsid w:val="003C7C66"/>
    <w:rsid w:val="003D023F"/>
    <w:rsid w:val="003D0CE2"/>
    <w:rsid w:val="003D17AF"/>
    <w:rsid w:val="003D1E3F"/>
    <w:rsid w:val="003D2279"/>
    <w:rsid w:val="003D2514"/>
    <w:rsid w:val="003D35E0"/>
    <w:rsid w:val="003D3660"/>
    <w:rsid w:val="003D4083"/>
    <w:rsid w:val="003D4D84"/>
    <w:rsid w:val="003D53BC"/>
    <w:rsid w:val="003D5800"/>
    <w:rsid w:val="003D5C7F"/>
    <w:rsid w:val="003D5FCC"/>
    <w:rsid w:val="003D6C96"/>
    <w:rsid w:val="003D712D"/>
    <w:rsid w:val="003D7431"/>
    <w:rsid w:val="003D7D71"/>
    <w:rsid w:val="003E065E"/>
    <w:rsid w:val="003E111C"/>
    <w:rsid w:val="003E1C62"/>
    <w:rsid w:val="003E2A28"/>
    <w:rsid w:val="003E3196"/>
    <w:rsid w:val="003E3FA4"/>
    <w:rsid w:val="003E41D6"/>
    <w:rsid w:val="003E4EDC"/>
    <w:rsid w:val="003E5861"/>
    <w:rsid w:val="003E7CD8"/>
    <w:rsid w:val="003F0809"/>
    <w:rsid w:val="003F0BC7"/>
    <w:rsid w:val="003F1088"/>
    <w:rsid w:val="003F1297"/>
    <w:rsid w:val="003F2059"/>
    <w:rsid w:val="003F2E03"/>
    <w:rsid w:val="003F39D4"/>
    <w:rsid w:val="003F3B7B"/>
    <w:rsid w:val="003F3E9C"/>
    <w:rsid w:val="003F408F"/>
    <w:rsid w:val="003F5E94"/>
    <w:rsid w:val="003F62EC"/>
    <w:rsid w:val="003F6749"/>
    <w:rsid w:val="003F7EBD"/>
    <w:rsid w:val="00400092"/>
    <w:rsid w:val="00400343"/>
    <w:rsid w:val="004004CB"/>
    <w:rsid w:val="0040105B"/>
    <w:rsid w:val="0040191E"/>
    <w:rsid w:val="004036E1"/>
    <w:rsid w:val="00403FEE"/>
    <w:rsid w:val="00404375"/>
    <w:rsid w:val="0040441D"/>
    <w:rsid w:val="00404A23"/>
    <w:rsid w:val="00407B72"/>
    <w:rsid w:val="00407E10"/>
    <w:rsid w:val="00407FA9"/>
    <w:rsid w:val="00411F3E"/>
    <w:rsid w:val="004124BE"/>
    <w:rsid w:val="00412E1F"/>
    <w:rsid w:val="00413BB4"/>
    <w:rsid w:val="004148FD"/>
    <w:rsid w:val="00415664"/>
    <w:rsid w:val="00415BDA"/>
    <w:rsid w:val="00416F2F"/>
    <w:rsid w:val="0041734B"/>
    <w:rsid w:val="00421606"/>
    <w:rsid w:val="00422097"/>
    <w:rsid w:val="00423B82"/>
    <w:rsid w:val="004248B7"/>
    <w:rsid w:val="00424BE1"/>
    <w:rsid w:val="00425061"/>
    <w:rsid w:val="00425998"/>
    <w:rsid w:val="00426C18"/>
    <w:rsid w:val="00426DB6"/>
    <w:rsid w:val="00426F6D"/>
    <w:rsid w:val="00426F8B"/>
    <w:rsid w:val="00427D2A"/>
    <w:rsid w:val="004308E4"/>
    <w:rsid w:val="00430CBD"/>
    <w:rsid w:val="0043130C"/>
    <w:rsid w:val="00431CD1"/>
    <w:rsid w:val="004321B9"/>
    <w:rsid w:val="00432895"/>
    <w:rsid w:val="004332CE"/>
    <w:rsid w:val="0043386E"/>
    <w:rsid w:val="00433884"/>
    <w:rsid w:val="00434C90"/>
    <w:rsid w:val="00435AAA"/>
    <w:rsid w:val="00435F9D"/>
    <w:rsid w:val="00436073"/>
    <w:rsid w:val="004373E1"/>
    <w:rsid w:val="00437C03"/>
    <w:rsid w:val="00437E3F"/>
    <w:rsid w:val="00440753"/>
    <w:rsid w:val="004412D5"/>
    <w:rsid w:val="004417C8"/>
    <w:rsid w:val="00441FC2"/>
    <w:rsid w:val="00442773"/>
    <w:rsid w:val="0044298A"/>
    <w:rsid w:val="00442E5D"/>
    <w:rsid w:val="004442F2"/>
    <w:rsid w:val="00444A82"/>
    <w:rsid w:val="00444CCC"/>
    <w:rsid w:val="00447EA0"/>
    <w:rsid w:val="00450445"/>
    <w:rsid w:val="004504F9"/>
    <w:rsid w:val="00450C66"/>
    <w:rsid w:val="0045373E"/>
    <w:rsid w:val="00454189"/>
    <w:rsid w:val="00456A65"/>
    <w:rsid w:val="004573AB"/>
    <w:rsid w:val="00457542"/>
    <w:rsid w:val="0046020C"/>
    <w:rsid w:val="00460EBB"/>
    <w:rsid w:val="00461459"/>
    <w:rsid w:val="00461937"/>
    <w:rsid w:val="00461C74"/>
    <w:rsid w:val="00461D84"/>
    <w:rsid w:val="00461FFE"/>
    <w:rsid w:val="00462767"/>
    <w:rsid w:val="0046327B"/>
    <w:rsid w:val="004648E3"/>
    <w:rsid w:val="00464E21"/>
    <w:rsid w:val="0046638F"/>
    <w:rsid w:val="004667E0"/>
    <w:rsid w:val="00466DED"/>
    <w:rsid w:val="004678A7"/>
    <w:rsid w:val="00471E1D"/>
    <w:rsid w:val="00472D4B"/>
    <w:rsid w:val="00473310"/>
    <w:rsid w:val="00473340"/>
    <w:rsid w:val="0047405E"/>
    <w:rsid w:val="00474FFF"/>
    <w:rsid w:val="00475155"/>
    <w:rsid w:val="00475F61"/>
    <w:rsid w:val="00481184"/>
    <w:rsid w:val="00481767"/>
    <w:rsid w:val="00481D44"/>
    <w:rsid w:val="004823D1"/>
    <w:rsid w:val="00482565"/>
    <w:rsid w:val="004825F5"/>
    <w:rsid w:val="00485000"/>
    <w:rsid w:val="00485184"/>
    <w:rsid w:val="00485B5A"/>
    <w:rsid w:val="00486F84"/>
    <w:rsid w:val="0048740B"/>
    <w:rsid w:val="004901ED"/>
    <w:rsid w:val="004902F0"/>
    <w:rsid w:val="00491A2F"/>
    <w:rsid w:val="00491CBD"/>
    <w:rsid w:val="00492288"/>
    <w:rsid w:val="004932F9"/>
    <w:rsid w:val="00494CCC"/>
    <w:rsid w:val="00494F14"/>
    <w:rsid w:val="00495217"/>
    <w:rsid w:val="004963BE"/>
    <w:rsid w:val="00496605"/>
    <w:rsid w:val="00496BA4"/>
    <w:rsid w:val="00496E16"/>
    <w:rsid w:val="004970B2"/>
    <w:rsid w:val="004A1124"/>
    <w:rsid w:val="004A2E8F"/>
    <w:rsid w:val="004A435F"/>
    <w:rsid w:val="004A5234"/>
    <w:rsid w:val="004A7067"/>
    <w:rsid w:val="004A79BE"/>
    <w:rsid w:val="004B023D"/>
    <w:rsid w:val="004B17BB"/>
    <w:rsid w:val="004B1C59"/>
    <w:rsid w:val="004B1E8C"/>
    <w:rsid w:val="004B2037"/>
    <w:rsid w:val="004B22A9"/>
    <w:rsid w:val="004B4980"/>
    <w:rsid w:val="004B4E91"/>
    <w:rsid w:val="004B5D99"/>
    <w:rsid w:val="004B5E7F"/>
    <w:rsid w:val="004B6735"/>
    <w:rsid w:val="004B6EEF"/>
    <w:rsid w:val="004B77D4"/>
    <w:rsid w:val="004B7A2C"/>
    <w:rsid w:val="004C022B"/>
    <w:rsid w:val="004C0BF5"/>
    <w:rsid w:val="004C2107"/>
    <w:rsid w:val="004C2318"/>
    <w:rsid w:val="004C2D19"/>
    <w:rsid w:val="004C318C"/>
    <w:rsid w:val="004C3419"/>
    <w:rsid w:val="004C3AB5"/>
    <w:rsid w:val="004C3C66"/>
    <w:rsid w:val="004C4AC5"/>
    <w:rsid w:val="004C4DE2"/>
    <w:rsid w:val="004C6544"/>
    <w:rsid w:val="004C765B"/>
    <w:rsid w:val="004C7997"/>
    <w:rsid w:val="004D088F"/>
    <w:rsid w:val="004D0A70"/>
    <w:rsid w:val="004D0ACF"/>
    <w:rsid w:val="004D1C45"/>
    <w:rsid w:val="004D2391"/>
    <w:rsid w:val="004D245C"/>
    <w:rsid w:val="004D24D6"/>
    <w:rsid w:val="004D302C"/>
    <w:rsid w:val="004D343F"/>
    <w:rsid w:val="004D367B"/>
    <w:rsid w:val="004D379C"/>
    <w:rsid w:val="004D37B0"/>
    <w:rsid w:val="004D38FE"/>
    <w:rsid w:val="004D4B9E"/>
    <w:rsid w:val="004D52E3"/>
    <w:rsid w:val="004D5C05"/>
    <w:rsid w:val="004D60FD"/>
    <w:rsid w:val="004D7B37"/>
    <w:rsid w:val="004D7E78"/>
    <w:rsid w:val="004E0D27"/>
    <w:rsid w:val="004E1A3C"/>
    <w:rsid w:val="004E1E99"/>
    <w:rsid w:val="004E23B1"/>
    <w:rsid w:val="004E4DD7"/>
    <w:rsid w:val="004E62A2"/>
    <w:rsid w:val="004E6B4A"/>
    <w:rsid w:val="004E74F4"/>
    <w:rsid w:val="004E7DEE"/>
    <w:rsid w:val="004F0444"/>
    <w:rsid w:val="004F1AA3"/>
    <w:rsid w:val="004F2BA9"/>
    <w:rsid w:val="004F35B0"/>
    <w:rsid w:val="004F4D59"/>
    <w:rsid w:val="004F4E7B"/>
    <w:rsid w:val="004F625B"/>
    <w:rsid w:val="004F62BE"/>
    <w:rsid w:val="004F78D0"/>
    <w:rsid w:val="004F7BA7"/>
    <w:rsid w:val="00500478"/>
    <w:rsid w:val="005007FF"/>
    <w:rsid w:val="0050229A"/>
    <w:rsid w:val="00503E82"/>
    <w:rsid w:val="0050400E"/>
    <w:rsid w:val="00504635"/>
    <w:rsid w:val="00506680"/>
    <w:rsid w:val="00506EB8"/>
    <w:rsid w:val="00506EC3"/>
    <w:rsid w:val="00507744"/>
    <w:rsid w:val="00510F3E"/>
    <w:rsid w:val="005110E3"/>
    <w:rsid w:val="00511992"/>
    <w:rsid w:val="00511B31"/>
    <w:rsid w:val="00511E56"/>
    <w:rsid w:val="00512057"/>
    <w:rsid w:val="005120F2"/>
    <w:rsid w:val="00513623"/>
    <w:rsid w:val="00513C07"/>
    <w:rsid w:val="00514107"/>
    <w:rsid w:val="00515FA7"/>
    <w:rsid w:val="00516675"/>
    <w:rsid w:val="005178A1"/>
    <w:rsid w:val="005178D7"/>
    <w:rsid w:val="00517AFA"/>
    <w:rsid w:val="00517E3E"/>
    <w:rsid w:val="00520432"/>
    <w:rsid w:val="00520A44"/>
    <w:rsid w:val="00521A50"/>
    <w:rsid w:val="00521C01"/>
    <w:rsid w:val="005230D0"/>
    <w:rsid w:val="00524A0E"/>
    <w:rsid w:val="00527FF4"/>
    <w:rsid w:val="0053035A"/>
    <w:rsid w:val="00530E07"/>
    <w:rsid w:val="00531C54"/>
    <w:rsid w:val="00531D07"/>
    <w:rsid w:val="005322A0"/>
    <w:rsid w:val="005340E0"/>
    <w:rsid w:val="00534350"/>
    <w:rsid w:val="00534A86"/>
    <w:rsid w:val="005352EF"/>
    <w:rsid w:val="00536846"/>
    <w:rsid w:val="00536D55"/>
    <w:rsid w:val="005376C5"/>
    <w:rsid w:val="0054060E"/>
    <w:rsid w:val="005407D8"/>
    <w:rsid w:val="00541FF6"/>
    <w:rsid w:val="00542D3B"/>
    <w:rsid w:val="0054357A"/>
    <w:rsid w:val="005440FC"/>
    <w:rsid w:val="005444B0"/>
    <w:rsid w:val="00544D9A"/>
    <w:rsid w:val="00545D7C"/>
    <w:rsid w:val="0054626D"/>
    <w:rsid w:val="005469AF"/>
    <w:rsid w:val="00547959"/>
    <w:rsid w:val="00547BC7"/>
    <w:rsid w:val="00547F53"/>
    <w:rsid w:val="00547FB7"/>
    <w:rsid w:val="0055031B"/>
    <w:rsid w:val="00550738"/>
    <w:rsid w:val="005523C5"/>
    <w:rsid w:val="00552710"/>
    <w:rsid w:val="00552CC0"/>
    <w:rsid w:val="00552F6C"/>
    <w:rsid w:val="005532A0"/>
    <w:rsid w:val="00553814"/>
    <w:rsid w:val="005539DE"/>
    <w:rsid w:val="00554834"/>
    <w:rsid w:val="005556A9"/>
    <w:rsid w:val="005558EF"/>
    <w:rsid w:val="005564C6"/>
    <w:rsid w:val="00556E60"/>
    <w:rsid w:val="005571C2"/>
    <w:rsid w:val="00561523"/>
    <w:rsid w:val="005615A9"/>
    <w:rsid w:val="00561BC7"/>
    <w:rsid w:val="0056269C"/>
    <w:rsid w:val="00562805"/>
    <w:rsid w:val="00562D79"/>
    <w:rsid w:val="00563DD3"/>
    <w:rsid w:val="00564875"/>
    <w:rsid w:val="005659EA"/>
    <w:rsid w:val="005660FB"/>
    <w:rsid w:val="005661AD"/>
    <w:rsid w:val="00566C9A"/>
    <w:rsid w:val="00567B77"/>
    <w:rsid w:val="005726E9"/>
    <w:rsid w:val="00574131"/>
    <w:rsid w:val="00574846"/>
    <w:rsid w:val="0057571D"/>
    <w:rsid w:val="00575887"/>
    <w:rsid w:val="005773EA"/>
    <w:rsid w:val="0058076D"/>
    <w:rsid w:val="00580B26"/>
    <w:rsid w:val="00580B64"/>
    <w:rsid w:val="0058292C"/>
    <w:rsid w:val="00582CC6"/>
    <w:rsid w:val="00583022"/>
    <w:rsid w:val="005831C3"/>
    <w:rsid w:val="005841E5"/>
    <w:rsid w:val="00584C6E"/>
    <w:rsid w:val="00585DA0"/>
    <w:rsid w:val="00586BA6"/>
    <w:rsid w:val="00587183"/>
    <w:rsid w:val="005872C0"/>
    <w:rsid w:val="00587C4E"/>
    <w:rsid w:val="00590A15"/>
    <w:rsid w:val="00590A31"/>
    <w:rsid w:val="00592031"/>
    <w:rsid w:val="00594C93"/>
    <w:rsid w:val="005955EC"/>
    <w:rsid w:val="00595963"/>
    <w:rsid w:val="005959DC"/>
    <w:rsid w:val="00596377"/>
    <w:rsid w:val="00596D64"/>
    <w:rsid w:val="005A028C"/>
    <w:rsid w:val="005A08DF"/>
    <w:rsid w:val="005A106E"/>
    <w:rsid w:val="005A1FD8"/>
    <w:rsid w:val="005A34DE"/>
    <w:rsid w:val="005A5456"/>
    <w:rsid w:val="005A6E3C"/>
    <w:rsid w:val="005A73E0"/>
    <w:rsid w:val="005A7A6E"/>
    <w:rsid w:val="005B0402"/>
    <w:rsid w:val="005B0A7A"/>
    <w:rsid w:val="005B112B"/>
    <w:rsid w:val="005B1388"/>
    <w:rsid w:val="005B1631"/>
    <w:rsid w:val="005B2133"/>
    <w:rsid w:val="005B24FE"/>
    <w:rsid w:val="005B31AF"/>
    <w:rsid w:val="005B3F14"/>
    <w:rsid w:val="005B4014"/>
    <w:rsid w:val="005B4A1F"/>
    <w:rsid w:val="005C155B"/>
    <w:rsid w:val="005C222B"/>
    <w:rsid w:val="005C36E2"/>
    <w:rsid w:val="005C4548"/>
    <w:rsid w:val="005C5A34"/>
    <w:rsid w:val="005C5BB3"/>
    <w:rsid w:val="005C6504"/>
    <w:rsid w:val="005C650D"/>
    <w:rsid w:val="005C6930"/>
    <w:rsid w:val="005C76BB"/>
    <w:rsid w:val="005D00E1"/>
    <w:rsid w:val="005D0BC1"/>
    <w:rsid w:val="005D1793"/>
    <w:rsid w:val="005D209C"/>
    <w:rsid w:val="005D24E0"/>
    <w:rsid w:val="005D2771"/>
    <w:rsid w:val="005D29C7"/>
    <w:rsid w:val="005D29CE"/>
    <w:rsid w:val="005D3A32"/>
    <w:rsid w:val="005D4B40"/>
    <w:rsid w:val="005D791E"/>
    <w:rsid w:val="005E05A8"/>
    <w:rsid w:val="005E0BF2"/>
    <w:rsid w:val="005E37F5"/>
    <w:rsid w:val="005E396C"/>
    <w:rsid w:val="005E50EB"/>
    <w:rsid w:val="005E53D9"/>
    <w:rsid w:val="005E7D75"/>
    <w:rsid w:val="005E7DDD"/>
    <w:rsid w:val="005F1279"/>
    <w:rsid w:val="005F19CE"/>
    <w:rsid w:val="005F240F"/>
    <w:rsid w:val="005F3232"/>
    <w:rsid w:val="005F43C8"/>
    <w:rsid w:val="005F4C5C"/>
    <w:rsid w:val="005F4EC4"/>
    <w:rsid w:val="005F6D56"/>
    <w:rsid w:val="005F766F"/>
    <w:rsid w:val="005F77AD"/>
    <w:rsid w:val="00600466"/>
    <w:rsid w:val="006013CC"/>
    <w:rsid w:val="006015FF"/>
    <w:rsid w:val="006023CC"/>
    <w:rsid w:val="00602BCA"/>
    <w:rsid w:val="00602F84"/>
    <w:rsid w:val="006036D9"/>
    <w:rsid w:val="00604D0C"/>
    <w:rsid w:val="00605496"/>
    <w:rsid w:val="006054A2"/>
    <w:rsid w:val="0060554B"/>
    <w:rsid w:val="006056F6"/>
    <w:rsid w:val="00606FED"/>
    <w:rsid w:val="00607B33"/>
    <w:rsid w:val="00610098"/>
    <w:rsid w:val="006113F6"/>
    <w:rsid w:val="0061229D"/>
    <w:rsid w:val="00613DCF"/>
    <w:rsid w:val="00614170"/>
    <w:rsid w:val="00614BF5"/>
    <w:rsid w:val="00614E88"/>
    <w:rsid w:val="0061582B"/>
    <w:rsid w:val="00617A07"/>
    <w:rsid w:val="00621671"/>
    <w:rsid w:val="006224A6"/>
    <w:rsid w:val="006226C3"/>
    <w:rsid w:val="00622B7C"/>
    <w:rsid w:val="00622F64"/>
    <w:rsid w:val="00623427"/>
    <w:rsid w:val="00625607"/>
    <w:rsid w:val="00625728"/>
    <w:rsid w:val="0062591E"/>
    <w:rsid w:val="0062593B"/>
    <w:rsid w:val="00626D6D"/>
    <w:rsid w:val="00626D89"/>
    <w:rsid w:val="006279B2"/>
    <w:rsid w:val="00627D2E"/>
    <w:rsid w:val="00630457"/>
    <w:rsid w:val="0063180F"/>
    <w:rsid w:val="0063360F"/>
    <w:rsid w:val="00633962"/>
    <w:rsid w:val="00635154"/>
    <w:rsid w:val="00637024"/>
    <w:rsid w:val="00637D64"/>
    <w:rsid w:val="00640029"/>
    <w:rsid w:val="006403FD"/>
    <w:rsid w:val="0064049A"/>
    <w:rsid w:val="00641263"/>
    <w:rsid w:val="006431E0"/>
    <w:rsid w:val="006455CA"/>
    <w:rsid w:val="00645ABC"/>
    <w:rsid w:val="00646107"/>
    <w:rsid w:val="00646E97"/>
    <w:rsid w:val="0064725B"/>
    <w:rsid w:val="006476B8"/>
    <w:rsid w:val="0065032C"/>
    <w:rsid w:val="00650C1A"/>
    <w:rsid w:val="0065217B"/>
    <w:rsid w:val="00652331"/>
    <w:rsid w:val="00652F06"/>
    <w:rsid w:val="00653984"/>
    <w:rsid w:val="00654198"/>
    <w:rsid w:val="00654411"/>
    <w:rsid w:val="00655AEE"/>
    <w:rsid w:val="00655D3E"/>
    <w:rsid w:val="00656A81"/>
    <w:rsid w:val="00657751"/>
    <w:rsid w:val="00657BD2"/>
    <w:rsid w:val="00660D9A"/>
    <w:rsid w:val="006610BE"/>
    <w:rsid w:val="006615CE"/>
    <w:rsid w:val="00663492"/>
    <w:rsid w:val="006661D7"/>
    <w:rsid w:val="006663E6"/>
    <w:rsid w:val="00666EC6"/>
    <w:rsid w:val="00667887"/>
    <w:rsid w:val="0067097C"/>
    <w:rsid w:val="00670CDB"/>
    <w:rsid w:val="006713FF"/>
    <w:rsid w:val="00671610"/>
    <w:rsid w:val="00671AF9"/>
    <w:rsid w:val="00672BDD"/>
    <w:rsid w:val="00672CD9"/>
    <w:rsid w:val="00673A5F"/>
    <w:rsid w:val="0067450A"/>
    <w:rsid w:val="006746A9"/>
    <w:rsid w:val="00674842"/>
    <w:rsid w:val="006751F3"/>
    <w:rsid w:val="00675BEE"/>
    <w:rsid w:val="006761F6"/>
    <w:rsid w:val="00676433"/>
    <w:rsid w:val="00676629"/>
    <w:rsid w:val="00676856"/>
    <w:rsid w:val="00676DAD"/>
    <w:rsid w:val="00677654"/>
    <w:rsid w:val="00680466"/>
    <w:rsid w:val="0068052E"/>
    <w:rsid w:val="006806F5"/>
    <w:rsid w:val="00680B97"/>
    <w:rsid w:val="00680D5C"/>
    <w:rsid w:val="006812E5"/>
    <w:rsid w:val="00682503"/>
    <w:rsid w:val="0068368A"/>
    <w:rsid w:val="00683A82"/>
    <w:rsid w:val="00685433"/>
    <w:rsid w:val="0068667E"/>
    <w:rsid w:val="00687296"/>
    <w:rsid w:val="00687929"/>
    <w:rsid w:val="00687994"/>
    <w:rsid w:val="00690FA3"/>
    <w:rsid w:val="00691A3E"/>
    <w:rsid w:val="00691AA0"/>
    <w:rsid w:val="0069229C"/>
    <w:rsid w:val="00693035"/>
    <w:rsid w:val="00695157"/>
    <w:rsid w:val="00695A61"/>
    <w:rsid w:val="0069616E"/>
    <w:rsid w:val="00696690"/>
    <w:rsid w:val="00696783"/>
    <w:rsid w:val="006A0F3F"/>
    <w:rsid w:val="006A1C22"/>
    <w:rsid w:val="006A1C81"/>
    <w:rsid w:val="006A476F"/>
    <w:rsid w:val="006A4A57"/>
    <w:rsid w:val="006A5434"/>
    <w:rsid w:val="006A6933"/>
    <w:rsid w:val="006A6E1D"/>
    <w:rsid w:val="006A7434"/>
    <w:rsid w:val="006A7708"/>
    <w:rsid w:val="006B0875"/>
    <w:rsid w:val="006B2696"/>
    <w:rsid w:val="006B2971"/>
    <w:rsid w:val="006B2F23"/>
    <w:rsid w:val="006B468E"/>
    <w:rsid w:val="006B5568"/>
    <w:rsid w:val="006B57DC"/>
    <w:rsid w:val="006B57F2"/>
    <w:rsid w:val="006B63AC"/>
    <w:rsid w:val="006B7385"/>
    <w:rsid w:val="006B7E8A"/>
    <w:rsid w:val="006C16A3"/>
    <w:rsid w:val="006C1B1E"/>
    <w:rsid w:val="006C2C7E"/>
    <w:rsid w:val="006C4633"/>
    <w:rsid w:val="006C51F5"/>
    <w:rsid w:val="006C5398"/>
    <w:rsid w:val="006C53D1"/>
    <w:rsid w:val="006C5614"/>
    <w:rsid w:val="006C5EF1"/>
    <w:rsid w:val="006D093D"/>
    <w:rsid w:val="006D2BB5"/>
    <w:rsid w:val="006D3155"/>
    <w:rsid w:val="006D33AC"/>
    <w:rsid w:val="006D39C1"/>
    <w:rsid w:val="006D5B36"/>
    <w:rsid w:val="006D6A5A"/>
    <w:rsid w:val="006D7844"/>
    <w:rsid w:val="006E0425"/>
    <w:rsid w:val="006E04B0"/>
    <w:rsid w:val="006E088B"/>
    <w:rsid w:val="006E164A"/>
    <w:rsid w:val="006E1F24"/>
    <w:rsid w:val="006E2B13"/>
    <w:rsid w:val="006E4078"/>
    <w:rsid w:val="006E6DB9"/>
    <w:rsid w:val="006E7056"/>
    <w:rsid w:val="006E76BE"/>
    <w:rsid w:val="006E76D6"/>
    <w:rsid w:val="006E775B"/>
    <w:rsid w:val="006F07C6"/>
    <w:rsid w:val="006F0929"/>
    <w:rsid w:val="006F0BE5"/>
    <w:rsid w:val="006F1ADF"/>
    <w:rsid w:val="006F3B62"/>
    <w:rsid w:val="006F44BA"/>
    <w:rsid w:val="006F4768"/>
    <w:rsid w:val="006F6D7E"/>
    <w:rsid w:val="006F73F7"/>
    <w:rsid w:val="006F7668"/>
    <w:rsid w:val="006F7ACA"/>
    <w:rsid w:val="00700275"/>
    <w:rsid w:val="00700347"/>
    <w:rsid w:val="00700EFF"/>
    <w:rsid w:val="00701204"/>
    <w:rsid w:val="007020E9"/>
    <w:rsid w:val="00702B6A"/>
    <w:rsid w:val="0070350E"/>
    <w:rsid w:val="0070372F"/>
    <w:rsid w:val="00703DDF"/>
    <w:rsid w:val="007044E3"/>
    <w:rsid w:val="007046F6"/>
    <w:rsid w:val="00704DA8"/>
    <w:rsid w:val="0070624C"/>
    <w:rsid w:val="00706AAF"/>
    <w:rsid w:val="00706B8E"/>
    <w:rsid w:val="00706DE0"/>
    <w:rsid w:val="00706F5E"/>
    <w:rsid w:val="00710090"/>
    <w:rsid w:val="007101DF"/>
    <w:rsid w:val="0071022E"/>
    <w:rsid w:val="00711FB5"/>
    <w:rsid w:val="00712CB1"/>
    <w:rsid w:val="00715266"/>
    <w:rsid w:val="007157D4"/>
    <w:rsid w:val="007157DA"/>
    <w:rsid w:val="00715C77"/>
    <w:rsid w:val="00715E0F"/>
    <w:rsid w:val="007164BA"/>
    <w:rsid w:val="00716C00"/>
    <w:rsid w:val="00717AD6"/>
    <w:rsid w:val="00717F77"/>
    <w:rsid w:val="00720567"/>
    <w:rsid w:val="00721475"/>
    <w:rsid w:val="007227CF"/>
    <w:rsid w:val="00723F8A"/>
    <w:rsid w:val="0072429F"/>
    <w:rsid w:val="007248B6"/>
    <w:rsid w:val="00724F12"/>
    <w:rsid w:val="00725FAC"/>
    <w:rsid w:val="00726908"/>
    <w:rsid w:val="00727CBE"/>
    <w:rsid w:val="00730480"/>
    <w:rsid w:val="00730EFA"/>
    <w:rsid w:val="00731B89"/>
    <w:rsid w:val="00732219"/>
    <w:rsid w:val="00732B5A"/>
    <w:rsid w:val="00733703"/>
    <w:rsid w:val="0073383B"/>
    <w:rsid w:val="00734294"/>
    <w:rsid w:val="00734363"/>
    <w:rsid w:val="007349D1"/>
    <w:rsid w:val="00734E22"/>
    <w:rsid w:val="00734FB1"/>
    <w:rsid w:val="007350CE"/>
    <w:rsid w:val="007360BA"/>
    <w:rsid w:val="00736197"/>
    <w:rsid w:val="00736281"/>
    <w:rsid w:val="00736F20"/>
    <w:rsid w:val="00740541"/>
    <w:rsid w:val="00740F2D"/>
    <w:rsid w:val="007413BD"/>
    <w:rsid w:val="007413F5"/>
    <w:rsid w:val="00742564"/>
    <w:rsid w:val="00742C36"/>
    <w:rsid w:val="0074327A"/>
    <w:rsid w:val="0074378A"/>
    <w:rsid w:val="00743E26"/>
    <w:rsid w:val="00743FD3"/>
    <w:rsid w:val="00744946"/>
    <w:rsid w:val="00745611"/>
    <w:rsid w:val="0074565D"/>
    <w:rsid w:val="00745E31"/>
    <w:rsid w:val="00745E5E"/>
    <w:rsid w:val="00746E4E"/>
    <w:rsid w:val="007505A2"/>
    <w:rsid w:val="0075337C"/>
    <w:rsid w:val="00753CC3"/>
    <w:rsid w:val="00754783"/>
    <w:rsid w:val="0075491F"/>
    <w:rsid w:val="00756139"/>
    <w:rsid w:val="007568FE"/>
    <w:rsid w:val="00757D22"/>
    <w:rsid w:val="00757DE3"/>
    <w:rsid w:val="00757E1B"/>
    <w:rsid w:val="00757FF6"/>
    <w:rsid w:val="007600AE"/>
    <w:rsid w:val="00760380"/>
    <w:rsid w:val="00761307"/>
    <w:rsid w:val="00763680"/>
    <w:rsid w:val="007657A8"/>
    <w:rsid w:val="00766880"/>
    <w:rsid w:val="007669AE"/>
    <w:rsid w:val="00767823"/>
    <w:rsid w:val="00770929"/>
    <w:rsid w:val="007709D7"/>
    <w:rsid w:val="00770A08"/>
    <w:rsid w:val="007718E4"/>
    <w:rsid w:val="007721A0"/>
    <w:rsid w:val="00772C3B"/>
    <w:rsid w:val="007737B1"/>
    <w:rsid w:val="0077450B"/>
    <w:rsid w:val="0077498A"/>
    <w:rsid w:val="00774C7C"/>
    <w:rsid w:val="007752B4"/>
    <w:rsid w:val="007754F8"/>
    <w:rsid w:val="00777032"/>
    <w:rsid w:val="00780344"/>
    <w:rsid w:val="00780E8F"/>
    <w:rsid w:val="00781430"/>
    <w:rsid w:val="00781F89"/>
    <w:rsid w:val="0078294D"/>
    <w:rsid w:val="00785B57"/>
    <w:rsid w:val="007868B3"/>
    <w:rsid w:val="00786E15"/>
    <w:rsid w:val="00787A25"/>
    <w:rsid w:val="00787F89"/>
    <w:rsid w:val="0079033C"/>
    <w:rsid w:val="00790CD1"/>
    <w:rsid w:val="007917A1"/>
    <w:rsid w:val="0079190D"/>
    <w:rsid w:val="007919DA"/>
    <w:rsid w:val="007926CD"/>
    <w:rsid w:val="00792ECA"/>
    <w:rsid w:val="00794C21"/>
    <w:rsid w:val="007951AF"/>
    <w:rsid w:val="00795B03"/>
    <w:rsid w:val="007969E1"/>
    <w:rsid w:val="007974AA"/>
    <w:rsid w:val="007A0663"/>
    <w:rsid w:val="007A144B"/>
    <w:rsid w:val="007A1CFE"/>
    <w:rsid w:val="007A20CF"/>
    <w:rsid w:val="007A3253"/>
    <w:rsid w:val="007A3CBF"/>
    <w:rsid w:val="007A4FF0"/>
    <w:rsid w:val="007A57E6"/>
    <w:rsid w:val="007A7A88"/>
    <w:rsid w:val="007A7D63"/>
    <w:rsid w:val="007B01BC"/>
    <w:rsid w:val="007B0999"/>
    <w:rsid w:val="007B0F06"/>
    <w:rsid w:val="007B0FD1"/>
    <w:rsid w:val="007B113E"/>
    <w:rsid w:val="007B1267"/>
    <w:rsid w:val="007B1436"/>
    <w:rsid w:val="007B3B3B"/>
    <w:rsid w:val="007B47A3"/>
    <w:rsid w:val="007B56DE"/>
    <w:rsid w:val="007B5869"/>
    <w:rsid w:val="007B6E0B"/>
    <w:rsid w:val="007B7399"/>
    <w:rsid w:val="007C0D05"/>
    <w:rsid w:val="007C12F9"/>
    <w:rsid w:val="007C1B7D"/>
    <w:rsid w:val="007C25EC"/>
    <w:rsid w:val="007C2A04"/>
    <w:rsid w:val="007C34DE"/>
    <w:rsid w:val="007C36DF"/>
    <w:rsid w:val="007C424E"/>
    <w:rsid w:val="007C4445"/>
    <w:rsid w:val="007C4506"/>
    <w:rsid w:val="007C6814"/>
    <w:rsid w:val="007C68C2"/>
    <w:rsid w:val="007C728D"/>
    <w:rsid w:val="007C7862"/>
    <w:rsid w:val="007D0518"/>
    <w:rsid w:val="007D1B08"/>
    <w:rsid w:val="007D2F45"/>
    <w:rsid w:val="007D3719"/>
    <w:rsid w:val="007D3BBE"/>
    <w:rsid w:val="007D3E5D"/>
    <w:rsid w:val="007D59A9"/>
    <w:rsid w:val="007D683F"/>
    <w:rsid w:val="007D76A5"/>
    <w:rsid w:val="007E06E7"/>
    <w:rsid w:val="007E08B2"/>
    <w:rsid w:val="007E0A4D"/>
    <w:rsid w:val="007E0C83"/>
    <w:rsid w:val="007E1107"/>
    <w:rsid w:val="007E14E2"/>
    <w:rsid w:val="007E30AA"/>
    <w:rsid w:val="007E31DA"/>
    <w:rsid w:val="007E3C36"/>
    <w:rsid w:val="007E3D29"/>
    <w:rsid w:val="007E429E"/>
    <w:rsid w:val="007E5106"/>
    <w:rsid w:val="007E518A"/>
    <w:rsid w:val="007E5E77"/>
    <w:rsid w:val="007E5EF4"/>
    <w:rsid w:val="007E7123"/>
    <w:rsid w:val="007E76D4"/>
    <w:rsid w:val="007F122D"/>
    <w:rsid w:val="007F1761"/>
    <w:rsid w:val="007F1A36"/>
    <w:rsid w:val="007F1E2A"/>
    <w:rsid w:val="007F27FF"/>
    <w:rsid w:val="007F42F8"/>
    <w:rsid w:val="007F468D"/>
    <w:rsid w:val="007F56C9"/>
    <w:rsid w:val="007F5FE6"/>
    <w:rsid w:val="007F6F87"/>
    <w:rsid w:val="007F7261"/>
    <w:rsid w:val="007F7A73"/>
    <w:rsid w:val="007F7F89"/>
    <w:rsid w:val="008020BA"/>
    <w:rsid w:val="008022E9"/>
    <w:rsid w:val="00804A7C"/>
    <w:rsid w:val="00805338"/>
    <w:rsid w:val="00805A02"/>
    <w:rsid w:val="00806043"/>
    <w:rsid w:val="00806134"/>
    <w:rsid w:val="00806E54"/>
    <w:rsid w:val="0081132F"/>
    <w:rsid w:val="00812167"/>
    <w:rsid w:val="008139AE"/>
    <w:rsid w:val="00813E61"/>
    <w:rsid w:val="00815D01"/>
    <w:rsid w:val="00816B97"/>
    <w:rsid w:val="008176C6"/>
    <w:rsid w:val="00817D00"/>
    <w:rsid w:val="00820536"/>
    <w:rsid w:val="00820CE2"/>
    <w:rsid w:val="00820DF8"/>
    <w:rsid w:val="00821F43"/>
    <w:rsid w:val="008232E6"/>
    <w:rsid w:val="00824D3E"/>
    <w:rsid w:val="00825932"/>
    <w:rsid w:val="008262E8"/>
    <w:rsid w:val="00826912"/>
    <w:rsid w:val="00827A60"/>
    <w:rsid w:val="00830A98"/>
    <w:rsid w:val="00833A10"/>
    <w:rsid w:val="0083470C"/>
    <w:rsid w:val="00835444"/>
    <w:rsid w:val="00836458"/>
    <w:rsid w:val="0083736E"/>
    <w:rsid w:val="008419AF"/>
    <w:rsid w:val="00842899"/>
    <w:rsid w:val="008431B9"/>
    <w:rsid w:val="00843C60"/>
    <w:rsid w:val="00844085"/>
    <w:rsid w:val="008445EF"/>
    <w:rsid w:val="008448ED"/>
    <w:rsid w:val="00844F52"/>
    <w:rsid w:val="00845532"/>
    <w:rsid w:val="00845CCE"/>
    <w:rsid w:val="0084716A"/>
    <w:rsid w:val="008474FC"/>
    <w:rsid w:val="0084758E"/>
    <w:rsid w:val="00852963"/>
    <w:rsid w:val="008536B8"/>
    <w:rsid w:val="008537FA"/>
    <w:rsid w:val="008552E3"/>
    <w:rsid w:val="008552EB"/>
    <w:rsid w:val="00855AAE"/>
    <w:rsid w:val="00855BF0"/>
    <w:rsid w:val="00855F96"/>
    <w:rsid w:val="00857F1E"/>
    <w:rsid w:val="008609A5"/>
    <w:rsid w:val="00860A90"/>
    <w:rsid w:val="008617F7"/>
    <w:rsid w:val="008619CB"/>
    <w:rsid w:val="00861B8B"/>
    <w:rsid w:val="00862AC5"/>
    <w:rsid w:val="0086387F"/>
    <w:rsid w:val="00864B4F"/>
    <w:rsid w:val="0086605F"/>
    <w:rsid w:val="008665E3"/>
    <w:rsid w:val="00866AC9"/>
    <w:rsid w:val="00867161"/>
    <w:rsid w:val="008672B0"/>
    <w:rsid w:val="0086743F"/>
    <w:rsid w:val="00867BE3"/>
    <w:rsid w:val="008705CD"/>
    <w:rsid w:val="0087153F"/>
    <w:rsid w:val="008715A6"/>
    <w:rsid w:val="00871609"/>
    <w:rsid w:val="008719C2"/>
    <w:rsid w:val="00873E58"/>
    <w:rsid w:val="008747B9"/>
    <w:rsid w:val="00874D1C"/>
    <w:rsid w:val="00876DEE"/>
    <w:rsid w:val="008812D7"/>
    <w:rsid w:val="0088225E"/>
    <w:rsid w:val="00882AE5"/>
    <w:rsid w:val="00884057"/>
    <w:rsid w:val="00884410"/>
    <w:rsid w:val="00884AA2"/>
    <w:rsid w:val="00884C57"/>
    <w:rsid w:val="008854A1"/>
    <w:rsid w:val="00885A9D"/>
    <w:rsid w:val="00886C9F"/>
    <w:rsid w:val="008875BD"/>
    <w:rsid w:val="008906CA"/>
    <w:rsid w:val="00890E5D"/>
    <w:rsid w:val="00891828"/>
    <w:rsid w:val="00891B15"/>
    <w:rsid w:val="00891B74"/>
    <w:rsid w:val="008929CE"/>
    <w:rsid w:val="00893564"/>
    <w:rsid w:val="00893AE1"/>
    <w:rsid w:val="008960C2"/>
    <w:rsid w:val="00896834"/>
    <w:rsid w:val="00896898"/>
    <w:rsid w:val="008A1365"/>
    <w:rsid w:val="008A13BB"/>
    <w:rsid w:val="008A1410"/>
    <w:rsid w:val="008A235A"/>
    <w:rsid w:val="008A2533"/>
    <w:rsid w:val="008A2E47"/>
    <w:rsid w:val="008A2F91"/>
    <w:rsid w:val="008A3D32"/>
    <w:rsid w:val="008A41FE"/>
    <w:rsid w:val="008A499F"/>
    <w:rsid w:val="008A4DD3"/>
    <w:rsid w:val="008A5CD9"/>
    <w:rsid w:val="008A6424"/>
    <w:rsid w:val="008A679A"/>
    <w:rsid w:val="008A6B87"/>
    <w:rsid w:val="008A731C"/>
    <w:rsid w:val="008B03B2"/>
    <w:rsid w:val="008B3516"/>
    <w:rsid w:val="008B36F7"/>
    <w:rsid w:val="008B3E00"/>
    <w:rsid w:val="008B5C26"/>
    <w:rsid w:val="008B6C8C"/>
    <w:rsid w:val="008B76EF"/>
    <w:rsid w:val="008B7ADF"/>
    <w:rsid w:val="008C02D3"/>
    <w:rsid w:val="008C0AF5"/>
    <w:rsid w:val="008C0D03"/>
    <w:rsid w:val="008C2129"/>
    <w:rsid w:val="008C364C"/>
    <w:rsid w:val="008C3D0D"/>
    <w:rsid w:val="008C4236"/>
    <w:rsid w:val="008C48E1"/>
    <w:rsid w:val="008C4DF1"/>
    <w:rsid w:val="008C52FD"/>
    <w:rsid w:val="008D0CED"/>
    <w:rsid w:val="008D1C3A"/>
    <w:rsid w:val="008D1EC5"/>
    <w:rsid w:val="008D21E5"/>
    <w:rsid w:val="008D29A8"/>
    <w:rsid w:val="008D2B16"/>
    <w:rsid w:val="008D39EE"/>
    <w:rsid w:val="008D3C50"/>
    <w:rsid w:val="008D47A8"/>
    <w:rsid w:val="008E0086"/>
    <w:rsid w:val="008E01B0"/>
    <w:rsid w:val="008E0232"/>
    <w:rsid w:val="008E0728"/>
    <w:rsid w:val="008E12F5"/>
    <w:rsid w:val="008E3184"/>
    <w:rsid w:val="008E4F14"/>
    <w:rsid w:val="008E5BBE"/>
    <w:rsid w:val="008E687E"/>
    <w:rsid w:val="008E7AAB"/>
    <w:rsid w:val="008E7E26"/>
    <w:rsid w:val="008F064D"/>
    <w:rsid w:val="008F168E"/>
    <w:rsid w:val="008F1C5A"/>
    <w:rsid w:val="008F1D6D"/>
    <w:rsid w:val="008F1FF5"/>
    <w:rsid w:val="008F46C4"/>
    <w:rsid w:val="008F5979"/>
    <w:rsid w:val="008F6D72"/>
    <w:rsid w:val="008F7548"/>
    <w:rsid w:val="008F7EB4"/>
    <w:rsid w:val="0090105E"/>
    <w:rsid w:val="00901665"/>
    <w:rsid w:val="009027C8"/>
    <w:rsid w:val="00903CE2"/>
    <w:rsid w:val="00904672"/>
    <w:rsid w:val="00905797"/>
    <w:rsid w:val="00906018"/>
    <w:rsid w:val="009062BF"/>
    <w:rsid w:val="009062F1"/>
    <w:rsid w:val="009066A6"/>
    <w:rsid w:val="00907A36"/>
    <w:rsid w:val="00910C4F"/>
    <w:rsid w:val="00911B5B"/>
    <w:rsid w:val="0091411A"/>
    <w:rsid w:val="00914625"/>
    <w:rsid w:val="00914C6B"/>
    <w:rsid w:val="00914E25"/>
    <w:rsid w:val="00914EC9"/>
    <w:rsid w:val="009153B3"/>
    <w:rsid w:val="00915504"/>
    <w:rsid w:val="00915DA6"/>
    <w:rsid w:val="0091654C"/>
    <w:rsid w:val="00916A69"/>
    <w:rsid w:val="00916C24"/>
    <w:rsid w:val="0091799D"/>
    <w:rsid w:val="00917EFC"/>
    <w:rsid w:val="00920002"/>
    <w:rsid w:val="009207AE"/>
    <w:rsid w:val="00920BCB"/>
    <w:rsid w:val="0092216B"/>
    <w:rsid w:val="00924340"/>
    <w:rsid w:val="009248EA"/>
    <w:rsid w:val="00925E13"/>
    <w:rsid w:val="009265EC"/>
    <w:rsid w:val="00926BF0"/>
    <w:rsid w:val="0093005D"/>
    <w:rsid w:val="00930F91"/>
    <w:rsid w:val="00932930"/>
    <w:rsid w:val="009335ED"/>
    <w:rsid w:val="009337B2"/>
    <w:rsid w:val="00933D88"/>
    <w:rsid w:val="00933E97"/>
    <w:rsid w:val="00935BF9"/>
    <w:rsid w:val="00940775"/>
    <w:rsid w:val="009412A8"/>
    <w:rsid w:val="00942291"/>
    <w:rsid w:val="0094242F"/>
    <w:rsid w:val="0094682E"/>
    <w:rsid w:val="00946F99"/>
    <w:rsid w:val="009470C8"/>
    <w:rsid w:val="009472B8"/>
    <w:rsid w:val="0094733C"/>
    <w:rsid w:val="00947D98"/>
    <w:rsid w:val="00950943"/>
    <w:rsid w:val="00951C5E"/>
    <w:rsid w:val="00952973"/>
    <w:rsid w:val="00952ABB"/>
    <w:rsid w:val="00952C6A"/>
    <w:rsid w:val="00953D27"/>
    <w:rsid w:val="00953DF7"/>
    <w:rsid w:val="0095444A"/>
    <w:rsid w:val="0095501A"/>
    <w:rsid w:val="009559B5"/>
    <w:rsid w:val="00956C00"/>
    <w:rsid w:val="00956CEE"/>
    <w:rsid w:val="009570BB"/>
    <w:rsid w:val="00957395"/>
    <w:rsid w:val="009578F5"/>
    <w:rsid w:val="00957BDD"/>
    <w:rsid w:val="00957BFE"/>
    <w:rsid w:val="00957F0B"/>
    <w:rsid w:val="009612F1"/>
    <w:rsid w:val="009614DE"/>
    <w:rsid w:val="00961DD5"/>
    <w:rsid w:val="009623C6"/>
    <w:rsid w:val="009628A8"/>
    <w:rsid w:val="00962C17"/>
    <w:rsid w:val="00962CED"/>
    <w:rsid w:val="00962E5F"/>
    <w:rsid w:val="00965380"/>
    <w:rsid w:val="00965597"/>
    <w:rsid w:val="00965DE3"/>
    <w:rsid w:val="0096615B"/>
    <w:rsid w:val="009710C9"/>
    <w:rsid w:val="00971A12"/>
    <w:rsid w:val="0097254A"/>
    <w:rsid w:val="00974152"/>
    <w:rsid w:val="0097430A"/>
    <w:rsid w:val="00974521"/>
    <w:rsid w:val="009772E0"/>
    <w:rsid w:val="00977971"/>
    <w:rsid w:val="00977C4D"/>
    <w:rsid w:val="009813DA"/>
    <w:rsid w:val="0098332F"/>
    <w:rsid w:val="00983CF9"/>
    <w:rsid w:val="00984683"/>
    <w:rsid w:val="009846FB"/>
    <w:rsid w:val="00985871"/>
    <w:rsid w:val="00986306"/>
    <w:rsid w:val="00986AB5"/>
    <w:rsid w:val="00991543"/>
    <w:rsid w:val="00991D72"/>
    <w:rsid w:val="009922D4"/>
    <w:rsid w:val="00992C39"/>
    <w:rsid w:val="00992D97"/>
    <w:rsid w:val="00993E95"/>
    <w:rsid w:val="00993FAB"/>
    <w:rsid w:val="0099471E"/>
    <w:rsid w:val="009951ED"/>
    <w:rsid w:val="00996CF7"/>
    <w:rsid w:val="009A14CF"/>
    <w:rsid w:val="009A1E8B"/>
    <w:rsid w:val="009A1F91"/>
    <w:rsid w:val="009A2675"/>
    <w:rsid w:val="009A2931"/>
    <w:rsid w:val="009A4E46"/>
    <w:rsid w:val="009A5306"/>
    <w:rsid w:val="009A5366"/>
    <w:rsid w:val="009A5972"/>
    <w:rsid w:val="009A6441"/>
    <w:rsid w:val="009A7586"/>
    <w:rsid w:val="009B010C"/>
    <w:rsid w:val="009B0AD0"/>
    <w:rsid w:val="009B0D63"/>
    <w:rsid w:val="009B18AE"/>
    <w:rsid w:val="009B2600"/>
    <w:rsid w:val="009B32A0"/>
    <w:rsid w:val="009B36EE"/>
    <w:rsid w:val="009B3B26"/>
    <w:rsid w:val="009B3CEB"/>
    <w:rsid w:val="009B4071"/>
    <w:rsid w:val="009B4719"/>
    <w:rsid w:val="009B4798"/>
    <w:rsid w:val="009B47B8"/>
    <w:rsid w:val="009B4E15"/>
    <w:rsid w:val="009B5DAA"/>
    <w:rsid w:val="009B6C9D"/>
    <w:rsid w:val="009B6DEB"/>
    <w:rsid w:val="009B7196"/>
    <w:rsid w:val="009B72A5"/>
    <w:rsid w:val="009B73AD"/>
    <w:rsid w:val="009B78D4"/>
    <w:rsid w:val="009C06D3"/>
    <w:rsid w:val="009C20DD"/>
    <w:rsid w:val="009C3CA4"/>
    <w:rsid w:val="009C4168"/>
    <w:rsid w:val="009C4557"/>
    <w:rsid w:val="009C7CF8"/>
    <w:rsid w:val="009C7F48"/>
    <w:rsid w:val="009D02D8"/>
    <w:rsid w:val="009D03F3"/>
    <w:rsid w:val="009D0BF9"/>
    <w:rsid w:val="009D14F0"/>
    <w:rsid w:val="009D1607"/>
    <w:rsid w:val="009D1756"/>
    <w:rsid w:val="009D186D"/>
    <w:rsid w:val="009D3B9E"/>
    <w:rsid w:val="009D799A"/>
    <w:rsid w:val="009D7BAF"/>
    <w:rsid w:val="009E0E49"/>
    <w:rsid w:val="009E178A"/>
    <w:rsid w:val="009E1D84"/>
    <w:rsid w:val="009E3CE8"/>
    <w:rsid w:val="009E4A7D"/>
    <w:rsid w:val="009E5D6A"/>
    <w:rsid w:val="009E6E04"/>
    <w:rsid w:val="009E7784"/>
    <w:rsid w:val="009E7A4E"/>
    <w:rsid w:val="009F1E1F"/>
    <w:rsid w:val="009F1FE5"/>
    <w:rsid w:val="009F2099"/>
    <w:rsid w:val="009F2E71"/>
    <w:rsid w:val="009F3053"/>
    <w:rsid w:val="009F41D9"/>
    <w:rsid w:val="009F4CFA"/>
    <w:rsid w:val="009F6B07"/>
    <w:rsid w:val="009F6DF1"/>
    <w:rsid w:val="009F731F"/>
    <w:rsid w:val="009F76B8"/>
    <w:rsid w:val="009F7BA4"/>
    <w:rsid w:val="00A00541"/>
    <w:rsid w:val="00A0163F"/>
    <w:rsid w:val="00A01DC3"/>
    <w:rsid w:val="00A04F3C"/>
    <w:rsid w:val="00A05810"/>
    <w:rsid w:val="00A058E4"/>
    <w:rsid w:val="00A06552"/>
    <w:rsid w:val="00A06ADB"/>
    <w:rsid w:val="00A06F2B"/>
    <w:rsid w:val="00A070B8"/>
    <w:rsid w:val="00A16606"/>
    <w:rsid w:val="00A167F7"/>
    <w:rsid w:val="00A168B5"/>
    <w:rsid w:val="00A16CDF"/>
    <w:rsid w:val="00A17659"/>
    <w:rsid w:val="00A1767D"/>
    <w:rsid w:val="00A204AF"/>
    <w:rsid w:val="00A20F7C"/>
    <w:rsid w:val="00A22426"/>
    <w:rsid w:val="00A23412"/>
    <w:rsid w:val="00A23840"/>
    <w:rsid w:val="00A24885"/>
    <w:rsid w:val="00A25A20"/>
    <w:rsid w:val="00A25ED5"/>
    <w:rsid w:val="00A26A5F"/>
    <w:rsid w:val="00A26A96"/>
    <w:rsid w:val="00A27D74"/>
    <w:rsid w:val="00A30C55"/>
    <w:rsid w:val="00A30E47"/>
    <w:rsid w:val="00A313B9"/>
    <w:rsid w:val="00A31EA0"/>
    <w:rsid w:val="00A32AB9"/>
    <w:rsid w:val="00A32C03"/>
    <w:rsid w:val="00A32EDE"/>
    <w:rsid w:val="00A337D5"/>
    <w:rsid w:val="00A33942"/>
    <w:rsid w:val="00A33D14"/>
    <w:rsid w:val="00A342A0"/>
    <w:rsid w:val="00A35656"/>
    <w:rsid w:val="00A3610D"/>
    <w:rsid w:val="00A37546"/>
    <w:rsid w:val="00A405CB"/>
    <w:rsid w:val="00A40C8F"/>
    <w:rsid w:val="00A416B8"/>
    <w:rsid w:val="00A41C71"/>
    <w:rsid w:val="00A42452"/>
    <w:rsid w:val="00A42672"/>
    <w:rsid w:val="00A42678"/>
    <w:rsid w:val="00A42FA4"/>
    <w:rsid w:val="00A43A46"/>
    <w:rsid w:val="00A43BB7"/>
    <w:rsid w:val="00A450C4"/>
    <w:rsid w:val="00A46B1C"/>
    <w:rsid w:val="00A46FEC"/>
    <w:rsid w:val="00A47005"/>
    <w:rsid w:val="00A473C9"/>
    <w:rsid w:val="00A47DF3"/>
    <w:rsid w:val="00A50DAD"/>
    <w:rsid w:val="00A51BAF"/>
    <w:rsid w:val="00A52B09"/>
    <w:rsid w:val="00A5409C"/>
    <w:rsid w:val="00A54CA7"/>
    <w:rsid w:val="00A54F9D"/>
    <w:rsid w:val="00A5513C"/>
    <w:rsid w:val="00A551DB"/>
    <w:rsid w:val="00A5578F"/>
    <w:rsid w:val="00A56517"/>
    <w:rsid w:val="00A574AE"/>
    <w:rsid w:val="00A57C2F"/>
    <w:rsid w:val="00A57C7E"/>
    <w:rsid w:val="00A60531"/>
    <w:rsid w:val="00A6071B"/>
    <w:rsid w:val="00A612C2"/>
    <w:rsid w:val="00A613AA"/>
    <w:rsid w:val="00A617B6"/>
    <w:rsid w:val="00A634B0"/>
    <w:rsid w:val="00A6351A"/>
    <w:rsid w:val="00A6380D"/>
    <w:rsid w:val="00A6448E"/>
    <w:rsid w:val="00A64E76"/>
    <w:rsid w:val="00A65830"/>
    <w:rsid w:val="00A662E0"/>
    <w:rsid w:val="00A663AB"/>
    <w:rsid w:val="00A66BCC"/>
    <w:rsid w:val="00A724BF"/>
    <w:rsid w:val="00A744E2"/>
    <w:rsid w:val="00A74786"/>
    <w:rsid w:val="00A75324"/>
    <w:rsid w:val="00A76030"/>
    <w:rsid w:val="00A81ABE"/>
    <w:rsid w:val="00A8272B"/>
    <w:rsid w:val="00A84730"/>
    <w:rsid w:val="00A84941"/>
    <w:rsid w:val="00A85BF1"/>
    <w:rsid w:val="00A86F34"/>
    <w:rsid w:val="00A87B20"/>
    <w:rsid w:val="00A87CEE"/>
    <w:rsid w:val="00A87D21"/>
    <w:rsid w:val="00A87D83"/>
    <w:rsid w:val="00A87F0D"/>
    <w:rsid w:val="00A909C6"/>
    <w:rsid w:val="00A91EB9"/>
    <w:rsid w:val="00A92756"/>
    <w:rsid w:val="00A92E8A"/>
    <w:rsid w:val="00A93221"/>
    <w:rsid w:val="00A9322C"/>
    <w:rsid w:val="00A93B88"/>
    <w:rsid w:val="00A94D02"/>
    <w:rsid w:val="00A95C24"/>
    <w:rsid w:val="00A95FDA"/>
    <w:rsid w:val="00A96299"/>
    <w:rsid w:val="00A962C7"/>
    <w:rsid w:val="00A97654"/>
    <w:rsid w:val="00AA05D8"/>
    <w:rsid w:val="00AA150C"/>
    <w:rsid w:val="00AA1774"/>
    <w:rsid w:val="00AA1C6B"/>
    <w:rsid w:val="00AA348C"/>
    <w:rsid w:val="00AA384F"/>
    <w:rsid w:val="00AA4329"/>
    <w:rsid w:val="00AA4D37"/>
    <w:rsid w:val="00AA5942"/>
    <w:rsid w:val="00AA5F43"/>
    <w:rsid w:val="00AA5F45"/>
    <w:rsid w:val="00AB0EBA"/>
    <w:rsid w:val="00AB1001"/>
    <w:rsid w:val="00AB166D"/>
    <w:rsid w:val="00AB1918"/>
    <w:rsid w:val="00AB1AD2"/>
    <w:rsid w:val="00AB331F"/>
    <w:rsid w:val="00AB3749"/>
    <w:rsid w:val="00AB4A51"/>
    <w:rsid w:val="00AB7002"/>
    <w:rsid w:val="00AB73F4"/>
    <w:rsid w:val="00AC0538"/>
    <w:rsid w:val="00AC195C"/>
    <w:rsid w:val="00AC1CD5"/>
    <w:rsid w:val="00AC23BB"/>
    <w:rsid w:val="00AC39D5"/>
    <w:rsid w:val="00AC3D73"/>
    <w:rsid w:val="00AC3DB2"/>
    <w:rsid w:val="00AC3FC9"/>
    <w:rsid w:val="00AC4219"/>
    <w:rsid w:val="00AC473E"/>
    <w:rsid w:val="00AC5181"/>
    <w:rsid w:val="00AC51B5"/>
    <w:rsid w:val="00AC58D4"/>
    <w:rsid w:val="00AC62C6"/>
    <w:rsid w:val="00AC63DC"/>
    <w:rsid w:val="00AC6A59"/>
    <w:rsid w:val="00AD0B6A"/>
    <w:rsid w:val="00AD0E45"/>
    <w:rsid w:val="00AD127D"/>
    <w:rsid w:val="00AD1BD8"/>
    <w:rsid w:val="00AD3114"/>
    <w:rsid w:val="00AD3A95"/>
    <w:rsid w:val="00AD559E"/>
    <w:rsid w:val="00AD5AB6"/>
    <w:rsid w:val="00AD6456"/>
    <w:rsid w:val="00AD6619"/>
    <w:rsid w:val="00AD7033"/>
    <w:rsid w:val="00AD7328"/>
    <w:rsid w:val="00AD7EC6"/>
    <w:rsid w:val="00AE0454"/>
    <w:rsid w:val="00AE35DD"/>
    <w:rsid w:val="00AE3D80"/>
    <w:rsid w:val="00AE50D7"/>
    <w:rsid w:val="00AE5105"/>
    <w:rsid w:val="00AE6361"/>
    <w:rsid w:val="00AE748B"/>
    <w:rsid w:val="00AE7B13"/>
    <w:rsid w:val="00AF0287"/>
    <w:rsid w:val="00AF0A26"/>
    <w:rsid w:val="00AF0CC6"/>
    <w:rsid w:val="00AF14AB"/>
    <w:rsid w:val="00AF1D28"/>
    <w:rsid w:val="00AF23C3"/>
    <w:rsid w:val="00AF2DCE"/>
    <w:rsid w:val="00AF33C4"/>
    <w:rsid w:val="00AF46EB"/>
    <w:rsid w:val="00AF4B91"/>
    <w:rsid w:val="00AF4C8D"/>
    <w:rsid w:val="00AF5065"/>
    <w:rsid w:val="00AF6926"/>
    <w:rsid w:val="00AF6BE8"/>
    <w:rsid w:val="00AF74C3"/>
    <w:rsid w:val="00B00764"/>
    <w:rsid w:val="00B023D4"/>
    <w:rsid w:val="00B0481C"/>
    <w:rsid w:val="00B04A34"/>
    <w:rsid w:val="00B04CF5"/>
    <w:rsid w:val="00B054EF"/>
    <w:rsid w:val="00B05892"/>
    <w:rsid w:val="00B062A0"/>
    <w:rsid w:val="00B06770"/>
    <w:rsid w:val="00B06A83"/>
    <w:rsid w:val="00B06AC3"/>
    <w:rsid w:val="00B06FB8"/>
    <w:rsid w:val="00B0727A"/>
    <w:rsid w:val="00B073E9"/>
    <w:rsid w:val="00B07417"/>
    <w:rsid w:val="00B07DDC"/>
    <w:rsid w:val="00B106B6"/>
    <w:rsid w:val="00B107B0"/>
    <w:rsid w:val="00B10A56"/>
    <w:rsid w:val="00B10C38"/>
    <w:rsid w:val="00B10DD5"/>
    <w:rsid w:val="00B123F6"/>
    <w:rsid w:val="00B12630"/>
    <w:rsid w:val="00B1341D"/>
    <w:rsid w:val="00B13A0A"/>
    <w:rsid w:val="00B150B2"/>
    <w:rsid w:val="00B15B55"/>
    <w:rsid w:val="00B17E58"/>
    <w:rsid w:val="00B20384"/>
    <w:rsid w:val="00B2041D"/>
    <w:rsid w:val="00B209DD"/>
    <w:rsid w:val="00B20A8A"/>
    <w:rsid w:val="00B25E95"/>
    <w:rsid w:val="00B26757"/>
    <w:rsid w:val="00B268C9"/>
    <w:rsid w:val="00B27B96"/>
    <w:rsid w:val="00B30C8D"/>
    <w:rsid w:val="00B30EA1"/>
    <w:rsid w:val="00B351AE"/>
    <w:rsid w:val="00B40571"/>
    <w:rsid w:val="00B40E24"/>
    <w:rsid w:val="00B41147"/>
    <w:rsid w:val="00B4147F"/>
    <w:rsid w:val="00B43B82"/>
    <w:rsid w:val="00B44281"/>
    <w:rsid w:val="00B443C5"/>
    <w:rsid w:val="00B4481B"/>
    <w:rsid w:val="00B45468"/>
    <w:rsid w:val="00B4546D"/>
    <w:rsid w:val="00B465CD"/>
    <w:rsid w:val="00B47BB0"/>
    <w:rsid w:val="00B50F5E"/>
    <w:rsid w:val="00B51261"/>
    <w:rsid w:val="00B51C87"/>
    <w:rsid w:val="00B521E8"/>
    <w:rsid w:val="00B52690"/>
    <w:rsid w:val="00B52F56"/>
    <w:rsid w:val="00B53B79"/>
    <w:rsid w:val="00B54997"/>
    <w:rsid w:val="00B54F46"/>
    <w:rsid w:val="00B56952"/>
    <w:rsid w:val="00B5716B"/>
    <w:rsid w:val="00B57485"/>
    <w:rsid w:val="00B600C3"/>
    <w:rsid w:val="00B600EB"/>
    <w:rsid w:val="00B60218"/>
    <w:rsid w:val="00B60967"/>
    <w:rsid w:val="00B60F19"/>
    <w:rsid w:val="00B61844"/>
    <w:rsid w:val="00B62897"/>
    <w:rsid w:val="00B62E65"/>
    <w:rsid w:val="00B63831"/>
    <w:rsid w:val="00B64170"/>
    <w:rsid w:val="00B64AD1"/>
    <w:rsid w:val="00B655CC"/>
    <w:rsid w:val="00B657E9"/>
    <w:rsid w:val="00B66481"/>
    <w:rsid w:val="00B674FA"/>
    <w:rsid w:val="00B7015B"/>
    <w:rsid w:val="00B70215"/>
    <w:rsid w:val="00B7070E"/>
    <w:rsid w:val="00B708C8"/>
    <w:rsid w:val="00B72BE9"/>
    <w:rsid w:val="00B7340C"/>
    <w:rsid w:val="00B73909"/>
    <w:rsid w:val="00B73DA7"/>
    <w:rsid w:val="00B7402C"/>
    <w:rsid w:val="00B74FAD"/>
    <w:rsid w:val="00B74FEC"/>
    <w:rsid w:val="00B75183"/>
    <w:rsid w:val="00B764F2"/>
    <w:rsid w:val="00B76886"/>
    <w:rsid w:val="00B77012"/>
    <w:rsid w:val="00B8060B"/>
    <w:rsid w:val="00B80670"/>
    <w:rsid w:val="00B80753"/>
    <w:rsid w:val="00B80790"/>
    <w:rsid w:val="00B807A4"/>
    <w:rsid w:val="00B8175E"/>
    <w:rsid w:val="00B83EDB"/>
    <w:rsid w:val="00B8485B"/>
    <w:rsid w:val="00B84AE1"/>
    <w:rsid w:val="00B84C1C"/>
    <w:rsid w:val="00B852FE"/>
    <w:rsid w:val="00B85903"/>
    <w:rsid w:val="00B859CE"/>
    <w:rsid w:val="00B85AD7"/>
    <w:rsid w:val="00B85BF1"/>
    <w:rsid w:val="00B86386"/>
    <w:rsid w:val="00B86933"/>
    <w:rsid w:val="00B87221"/>
    <w:rsid w:val="00B87ADD"/>
    <w:rsid w:val="00B90A94"/>
    <w:rsid w:val="00B91C0F"/>
    <w:rsid w:val="00B91C67"/>
    <w:rsid w:val="00B91CE5"/>
    <w:rsid w:val="00B94E5B"/>
    <w:rsid w:val="00B95F24"/>
    <w:rsid w:val="00B961F0"/>
    <w:rsid w:val="00B96861"/>
    <w:rsid w:val="00B979A8"/>
    <w:rsid w:val="00BA1A8A"/>
    <w:rsid w:val="00BA21BC"/>
    <w:rsid w:val="00BA2440"/>
    <w:rsid w:val="00BA47DC"/>
    <w:rsid w:val="00BA486D"/>
    <w:rsid w:val="00BA6AE3"/>
    <w:rsid w:val="00BA7163"/>
    <w:rsid w:val="00BB1A0F"/>
    <w:rsid w:val="00BB1A22"/>
    <w:rsid w:val="00BB1AE6"/>
    <w:rsid w:val="00BB1CA3"/>
    <w:rsid w:val="00BB2F3A"/>
    <w:rsid w:val="00BB3E80"/>
    <w:rsid w:val="00BB3F13"/>
    <w:rsid w:val="00BB4517"/>
    <w:rsid w:val="00BB48EF"/>
    <w:rsid w:val="00BB5263"/>
    <w:rsid w:val="00BB5CF2"/>
    <w:rsid w:val="00BB6640"/>
    <w:rsid w:val="00BB6A6D"/>
    <w:rsid w:val="00BB7CE3"/>
    <w:rsid w:val="00BC001D"/>
    <w:rsid w:val="00BC0106"/>
    <w:rsid w:val="00BC02F6"/>
    <w:rsid w:val="00BC040D"/>
    <w:rsid w:val="00BC0E1D"/>
    <w:rsid w:val="00BC1F39"/>
    <w:rsid w:val="00BC24A4"/>
    <w:rsid w:val="00BC295C"/>
    <w:rsid w:val="00BC2E38"/>
    <w:rsid w:val="00BC2F01"/>
    <w:rsid w:val="00BC33FF"/>
    <w:rsid w:val="00BC3A64"/>
    <w:rsid w:val="00BC46B5"/>
    <w:rsid w:val="00BC4844"/>
    <w:rsid w:val="00BC5C01"/>
    <w:rsid w:val="00BC7DAA"/>
    <w:rsid w:val="00BC7F5C"/>
    <w:rsid w:val="00BD0675"/>
    <w:rsid w:val="00BD0711"/>
    <w:rsid w:val="00BD07E9"/>
    <w:rsid w:val="00BD1CA4"/>
    <w:rsid w:val="00BD33B0"/>
    <w:rsid w:val="00BD3A8B"/>
    <w:rsid w:val="00BD476D"/>
    <w:rsid w:val="00BD4BEF"/>
    <w:rsid w:val="00BD4C4C"/>
    <w:rsid w:val="00BD5871"/>
    <w:rsid w:val="00BD69B0"/>
    <w:rsid w:val="00BD6B68"/>
    <w:rsid w:val="00BD7DA8"/>
    <w:rsid w:val="00BE072F"/>
    <w:rsid w:val="00BE0C09"/>
    <w:rsid w:val="00BE3454"/>
    <w:rsid w:val="00BE3620"/>
    <w:rsid w:val="00BE526A"/>
    <w:rsid w:val="00BE57D4"/>
    <w:rsid w:val="00BE596B"/>
    <w:rsid w:val="00BE71BB"/>
    <w:rsid w:val="00BE786D"/>
    <w:rsid w:val="00BF01E0"/>
    <w:rsid w:val="00BF0B44"/>
    <w:rsid w:val="00BF277D"/>
    <w:rsid w:val="00BF2968"/>
    <w:rsid w:val="00BF4BF5"/>
    <w:rsid w:val="00BF4C8C"/>
    <w:rsid w:val="00BF4E12"/>
    <w:rsid w:val="00BF4E7C"/>
    <w:rsid w:val="00BF5E25"/>
    <w:rsid w:val="00BF5F21"/>
    <w:rsid w:val="00BF646B"/>
    <w:rsid w:val="00BF686A"/>
    <w:rsid w:val="00BF6FE8"/>
    <w:rsid w:val="00BF758A"/>
    <w:rsid w:val="00BF7FD1"/>
    <w:rsid w:val="00C02D18"/>
    <w:rsid w:val="00C02ED6"/>
    <w:rsid w:val="00C0360F"/>
    <w:rsid w:val="00C03942"/>
    <w:rsid w:val="00C03E4A"/>
    <w:rsid w:val="00C0457D"/>
    <w:rsid w:val="00C04BE8"/>
    <w:rsid w:val="00C05492"/>
    <w:rsid w:val="00C064AA"/>
    <w:rsid w:val="00C07258"/>
    <w:rsid w:val="00C07718"/>
    <w:rsid w:val="00C07F1E"/>
    <w:rsid w:val="00C100ED"/>
    <w:rsid w:val="00C107E7"/>
    <w:rsid w:val="00C1099E"/>
    <w:rsid w:val="00C10C13"/>
    <w:rsid w:val="00C12298"/>
    <w:rsid w:val="00C12B80"/>
    <w:rsid w:val="00C13028"/>
    <w:rsid w:val="00C154C3"/>
    <w:rsid w:val="00C16758"/>
    <w:rsid w:val="00C170D2"/>
    <w:rsid w:val="00C174CA"/>
    <w:rsid w:val="00C174CB"/>
    <w:rsid w:val="00C17894"/>
    <w:rsid w:val="00C17DA0"/>
    <w:rsid w:val="00C20AAF"/>
    <w:rsid w:val="00C21B47"/>
    <w:rsid w:val="00C23426"/>
    <w:rsid w:val="00C23A3F"/>
    <w:rsid w:val="00C2407A"/>
    <w:rsid w:val="00C24C5D"/>
    <w:rsid w:val="00C25A56"/>
    <w:rsid w:val="00C26B1D"/>
    <w:rsid w:val="00C27A3C"/>
    <w:rsid w:val="00C27F25"/>
    <w:rsid w:val="00C3011B"/>
    <w:rsid w:val="00C302EC"/>
    <w:rsid w:val="00C306C4"/>
    <w:rsid w:val="00C30DD8"/>
    <w:rsid w:val="00C30EAA"/>
    <w:rsid w:val="00C31769"/>
    <w:rsid w:val="00C3179A"/>
    <w:rsid w:val="00C32554"/>
    <w:rsid w:val="00C33B04"/>
    <w:rsid w:val="00C34507"/>
    <w:rsid w:val="00C34A4C"/>
    <w:rsid w:val="00C34D88"/>
    <w:rsid w:val="00C350A9"/>
    <w:rsid w:val="00C35BA0"/>
    <w:rsid w:val="00C35FBE"/>
    <w:rsid w:val="00C371C7"/>
    <w:rsid w:val="00C40504"/>
    <w:rsid w:val="00C40F92"/>
    <w:rsid w:val="00C41C3C"/>
    <w:rsid w:val="00C41E4C"/>
    <w:rsid w:val="00C41E94"/>
    <w:rsid w:val="00C426E6"/>
    <w:rsid w:val="00C43612"/>
    <w:rsid w:val="00C449EE"/>
    <w:rsid w:val="00C45028"/>
    <w:rsid w:val="00C4549D"/>
    <w:rsid w:val="00C458B5"/>
    <w:rsid w:val="00C45D72"/>
    <w:rsid w:val="00C50013"/>
    <w:rsid w:val="00C500DA"/>
    <w:rsid w:val="00C507F2"/>
    <w:rsid w:val="00C511B8"/>
    <w:rsid w:val="00C520C8"/>
    <w:rsid w:val="00C52F05"/>
    <w:rsid w:val="00C532AE"/>
    <w:rsid w:val="00C5482D"/>
    <w:rsid w:val="00C54AD6"/>
    <w:rsid w:val="00C55127"/>
    <w:rsid w:val="00C552BA"/>
    <w:rsid w:val="00C558C6"/>
    <w:rsid w:val="00C5611C"/>
    <w:rsid w:val="00C56AA8"/>
    <w:rsid w:val="00C56ABE"/>
    <w:rsid w:val="00C578B7"/>
    <w:rsid w:val="00C57E8B"/>
    <w:rsid w:val="00C57F3B"/>
    <w:rsid w:val="00C604AA"/>
    <w:rsid w:val="00C61747"/>
    <w:rsid w:val="00C642BC"/>
    <w:rsid w:val="00C64981"/>
    <w:rsid w:val="00C653DD"/>
    <w:rsid w:val="00C6593F"/>
    <w:rsid w:val="00C65DCB"/>
    <w:rsid w:val="00C679B6"/>
    <w:rsid w:val="00C67C66"/>
    <w:rsid w:val="00C67F5C"/>
    <w:rsid w:val="00C71269"/>
    <w:rsid w:val="00C721DD"/>
    <w:rsid w:val="00C72810"/>
    <w:rsid w:val="00C72E2C"/>
    <w:rsid w:val="00C73DBB"/>
    <w:rsid w:val="00C75484"/>
    <w:rsid w:val="00C7595F"/>
    <w:rsid w:val="00C75CCB"/>
    <w:rsid w:val="00C768DD"/>
    <w:rsid w:val="00C76E8E"/>
    <w:rsid w:val="00C77773"/>
    <w:rsid w:val="00C8024B"/>
    <w:rsid w:val="00C80EFD"/>
    <w:rsid w:val="00C83937"/>
    <w:rsid w:val="00C83A57"/>
    <w:rsid w:val="00C84231"/>
    <w:rsid w:val="00C8530B"/>
    <w:rsid w:val="00C85712"/>
    <w:rsid w:val="00C87197"/>
    <w:rsid w:val="00C87BE7"/>
    <w:rsid w:val="00C903F1"/>
    <w:rsid w:val="00C9056A"/>
    <w:rsid w:val="00C91009"/>
    <w:rsid w:val="00C91FBB"/>
    <w:rsid w:val="00C93224"/>
    <w:rsid w:val="00C938CD"/>
    <w:rsid w:val="00C93970"/>
    <w:rsid w:val="00C940F9"/>
    <w:rsid w:val="00C9477B"/>
    <w:rsid w:val="00C94D41"/>
    <w:rsid w:val="00C94F61"/>
    <w:rsid w:val="00C95CE4"/>
    <w:rsid w:val="00C97149"/>
    <w:rsid w:val="00C97BF4"/>
    <w:rsid w:val="00C97E6B"/>
    <w:rsid w:val="00CA29AF"/>
    <w:rsid w:val="00CA3902"/>
    <w:rsid w:val="00CA4244"/>
    <w:rsid w:val="00CA4EA5"/>
    <w:rsid w:val="00CA5084"/>
    <w:rsid w:val="00CA54EA"/>
    <w:rsid w:val="00CA6CB9"/>
    <w:rsid w:val="00CA7650"/>
    <w:rsid w:val="00CA7BC6"/>
    <w:rsid w:val="00CB052A"/>
    <w:rsid w:val="00CB2536"/>
    <w:rsid w:val="00CB280F"/>
    <w:rsid w:val="00CB2BD4"/>
    <w:rsid w:val="00CB3294"/>
    <w:rsid w:val="00CB33E5"/>
    <w:rsid w:val="00CB42D8"/>
    <w:rsid w:val="00CB4AAC"/>
    <w:rsid w:val="00CB4BDC"/>
    <w:rsid w:val="00CB4E5C"/>
    <w:rsid w:val="00CB6942"/>
    <w:rsid w:val="00CB6DA0"/>
    <w:rsid w:val="00CB767C"/>
    <w:rsid w:val="00CB7CFD"/>
    <w:rsid w:val="00CC0B17"/>
    <w:rsid w:val="00CC0EE6"/>
    <w:rsid w:val="00CC2F7F"/>
    <w:rsid w:val="00CC2FFE"/>
    <w:rsid w:val="00CC38D5"/>
    <w:rsid w:val="00CC3E5C"/>
    <w:rsid w:val="00CC4A0B"/>
    <w:rsid w:val="00CC6B5A"/>
    <w:rsid w:val="00CC7ABC"/>
    <w:rsid w:val="00CD0F11"/>
    <w:rsid w:val="00CD2265"/>
    <w:rsid w:val="00CD2513"/>
    <w:rsid w:val="00CD32BE"/>
    <w:rsid w:val="00CD3C51"/>
    <w:rsid w:val="00CD419B"/>
    <w:rsid w:val="00CD545F"/>
    <w:rsid w:val="00CD5B79"/>
    <w:rsid w:val="00CD7494"/>
    <w:rsid w:val="00CD7F86"/>
    <w:rsid w:val="00CE0D44"/>
    <w:rsid w:val="00CE1F50"/>
    <w:rsid w:val="00CE1FF0"/>
    <w:rsid w:val="00CE35A2"/>
    <w:rsid w:val="00CE3D0F"/>
    <w:rsid w:val="00CE4E4B"/>
    <w:rsid w:val="00CE4F2A"/>
    <w:rsid w:val="00CE6514"/>
    <w:rsid w:val="00CE6669"/>
    <w:rsid w:val="00CE6938"/>
    <w:rsid w:val="00CE702F"/>
    <w:rsid w:val="00CE7C6A"/>
    <w:rsid w:val="00CE7E23"/>
    <w:rsid w:val="00CF00AF"/>
    <w:rsid w:val="00CF173A"/>
    <w:rsid w:val="00CF2A9B"/>
    <w:rsid w:val="00CF3015"/>
    <w:rsid w:val="00CF38E7"/>
    <w:rsid w:val="00CF3997"/>
    <w:rsid w:val="00CF5251"/>
    <w:rsid w:val="00CF58C8"/>
    <w:rsid w:val="00CF5AA0"/>
    <w:rsid w:val="00CF60D7"/>
    <w:rsid w:val="00CF6410"/>
    <w:rsid w:val="00CF7107"/>
    <w:rsid w:val="00D00E79"/>
    <w:rsid w:val="00D0142B"/>
    <w:rsid w:val="00D02736"/>
    <w:rsid w:val="00D03FF4"/>
    <w:rsid w:val="00D0549E"/>
    <w:rsid w:val="00D06741"/>
    <w:rsid w:val="00D06B94"/>
    <w:rsid w:val="00D1087D"/>
    <w:rsid w:val="00D12E5F"/>
    <w:rsid w:val="00D13DB1"/>
    <w:rsid w:val="00D1425B"/>
    <w:rsid w:val="00D147E0"/>
    <w:rsid w:val="00D20A45"/>
    <w:rsid w:val="00D20FF6"/>
    <w:rsid w:val="00D217B5"/>
    <w:rsid w:val="00D21E80"/>
    <w:rsid w:val="00D224A5"/>
    <w:rsid w:val="00D230C8"/>
    <w:rsid w:val="00D231A0"/>
    <w:rsid w:val="00D23EF7"/>
    <w:rsid w:val="00D2414B"/>
    <w:rsid w:val="00D25140"/>
    <w:rsid w:val="00D27B16"/>
    <w:rsid w:val="00D33757"/>
    <w:rsid w:val="00D33E2F"/>
    <w:rsid w:val="00D3429A"/>
    <w:rsid w:val="00D342F6"/>
    <w:rsid w:val="00D34425"/>
    <w:rsid w:val="00D3645A"/>
    <w:rsid w:val="00D4000D"/>
    <w:rsid w:val="00D401EC"/>
    <w:rsid w:val="00D41B8E"/>
    <w:rsid w:val="00D442CD"/>
    <w:rsid w:val="00D44E82"/>
    <w:rsid w:val="00D4522C"/>
    <w:rsid w:val="00D45457"/>
    <w:rsid w:val="00D46478"/>
    <w:rsid w:val="00D466BF"/>
    <w:rsid w:val="00D47E21"/>
    <w:rsid w:val="00D47FB9"/>
    <w:rsid w:val="00D5005D"/>
    <w:rsid w:val="00D503D3"/>
    <w:rsid w:val="00D5090F"/>
    <w:rsid w:val="00D51B97"/>
    <w:rsid w:val="00D51C99"/>
    <w:rsid w:val="00D52BF6"/>
    <w:rsid w:val="00D53071"/>
    <w:rsid w:val="00D53264"/>
    <w:rsid w:val="00D54000"/>
    <w:rsid w:val="00D5412A"/>
    <w:rsid w:val="00D5423C"/>
    <w:rsid w:val="00D544DA"/>
    <w:rsid w:val="00D55AEE"/>
    <w:rsid w:val="00D568FC"/>
    <w:rsid w:val="00D57388"/>
    <w:rsid w:val="00D603FA"/>
    <w:rsid w:val="00D610C6"/>
    <w:rsid w:val="00D619A6"/>
    <w:rsid w:val="00D61A39"/>
    <w:rsid w:val="00D61CE5"/>
    <w:rsid w:val="00D62240"/>
    <w:rsid w:val="00D623FF"/>
    <w:rsid w:val="00D63E9A"/>
    <w:rsid w:val="00D65438"/>
    <w:rsid w:val="00D6656D"/>
    <w:rsid w:val="00D66AD3"/>
    <w:rsid w:val="00D67C58"/>
    <w:rsid w:val="00D70663"/>
    <w:rsid w:val="00D70A98"/>
    <w:rsid w:val="00D715F9"/>
    <w:rsid w:val="00D732EB"/>
    <w:rsid w:val="00D737E5"/>
    <w:rsid w:val="00D73ABB"/>
    <w:rsid w:val="00D74612"/>
    <w:rsid w:val="00D74E19"/>
    <w:rsid w:val="00D7593B"/>
    <w:rsid w:val="00D7788D"/>
    <w:rsid w:val="00D779B2"/>
    <w:rsid w:val="00D803C7"/>
    <w:rsid w:val="00D81883"/>
    <w:rsid w:val="00D81A08"/>
    <w:rsid w:val="00D81CDE"/>
    <w:rsid w:val="00D838B4"/>
    <w:rsid w:val="00D83EBE"/>
    <w:rsid w:val="00D86846"/>
    <w:rsid w:val="00D86C4E"/>
    <w:rsid w:val="00D8701E"/>
    <w:rsid w:val="00D87B00"/>
    <w:rsid w:val="00D909A2"/>
    <w:rsid w:val="00D917CB"/>
    <w:rsid w:val="00D926E3"/>
    <w:rsid w:val="00D9428E"/>
    <w:rsid w:val="00D9480C"/>
    <w:rsid w:val="00D94FA4"/>
    <w:rsid w:val="00D95FCE"/>
    <w:rsid w:val="00D96A4C"/>
    <w:rsid w:val="00D97966"/>
    <w:rsid w:val="00DA01AB"/>
    <w:rsid w:val="00DA1185"/>
    <w:rsid w:val="00DA16C5"/>
    <w:rsid w:val="00DA1756"/>
    <w:rsid w:val="00DA1948"/>
    <w:rsid w:val="00DA22F3"/>
    <w:rsid w:val="00DA3BC5"/>
    <w:rsid w:val="00DA3EA5"/>
    <w:rsid w:val="00DA4693"/>
    <w:rsid w:val="00DA4937"/>
    <w:rsid w:val="00DA59F0"/>
    <w:rsid w:val="00DA6686"/>
    <w:rsid w:val="00DA7A95"/>
    <w:rsid w:val="00DB1986"/>
    <w:rsid w:val="00DB2AF3"/>
    <w:rsid w:val="00DB2ED4"/>
    <w:rsid w:val="00DB2FBD"/>
    <w:rsid w:val="00DB329E"/>
    <w:rsid w:val="00DB334E"/>
    <w:rsid w:val="00DB5D29"/>
    <w:rsid w:val="00DB6009"/>
    <w:rsid w:val="00DB6C15"/>
    <w:rsid w:val="00DB6E2A"/>
    <w:rsid w:val="00DB7066"/>
    <w:rsid w:val="00DB7EF0"/>
    <w:rsid w:val="00DC046B"/>
    <w:rsid w:val="00DC1D81"/>
    <w:rsid w:val="00DC257B"/>
    <w:rsid w:val="00DC2BF2"/>
    <w:rsid w:val="00DC3098"/>
    <w:rsid w:val="00DC317D"/>
    <w:rsid w:val="00DC3685"/>
    <w:rsid w:val="00DC3CC1"/>
    <w:rsid w:val="00DC3DBB"/>
    <w:rsid w:val="00DC3E22"/>
    <w:rsid w:val="00DC41CE"/>
    <w:rsid w:val="00DC4685"/>
    <w:rsid w:val="00DC631E"/>
    <w:rsid w:val="00DD0A67"/>
    <w:rsid w:val="00DD17FE"/>
    <w:rsid w:val="00DD1BF9"/>
    <w:rsid w:val="00DD1C61"/>
    <w:rsid w:val="00DD28E3"/>
    <w:rsid w:val="00DD2A75"/>
    <w:rsid w:val="00DD3122"/>
    <w:rsid w:val="00DD3E3B"/>
    <w:rsid w:val="00DD4A28"/>
    <w:rsid w:val="00DD5A7E"/>
    <w:rsid w:val="00DD5E3D"/>
    <w:rsid w:val="00DD7DE4"/>
    <w:rsid w:val="00DE17AA"/>
    <w:rsid w:val="00DE2D3E"/>
    <w:rsid w:val="00DE5879"/>
    <w:rsid w:val="00DE5894"/>
    <w:rsid w:val="00DE64D5"/>
    <w:rsid w:val="00DE6741"/>
    <w:rsid w:val="00DE6927"/>
    <w:rsid w:val="00DE6F32"/>
    <w:rsid w:val="00DE7273"/>
    <w:rsid w:val="00DE731D"/>
    <w:rsid w:val="00DE7C95"/>
    <w:rsid w:val="00DF1EFB"/>
    <w:rsid w:val="00DF270B"/>
    <w:rsid w:val="00DF2983"/>
    <w:rsid w:val="00DF3C17"/>
    <w:rsid w:val="00DF3DAF"/>
    <w:rsid w:val="00DF40B2"/>
    <w:rsid w:val="00DF48AA"/>
    <w:rsid w:val="00DF7926"/>
    <w:rsid w:val="00E0115B"/>
    <w:rsid w:val="00E02609"/>
    <w:rsid w:val="00E02962"/>
    <w:rsid w:val="00E02A04"/>
    <w:rsid w:val="00E02BA3"/>
    <w:rsid w:val="00E03DB8"/>
    <w:rsid w:val="00E06BA6"/>
    <w:rsid w:val="00E06C3D"/>
    <w:rsid w:val="00E079A0"/>
    <w:rsid w:val="00E07F78"/>
    <w:rsid w:val="00E101C1"/>
    <w:rsid w:val="00E103FB"/>
    <w:rsid w:val="00E1047C"/>
    <w:rsid w:val="00E11330"/>
    <w:rsid w:val="00E11882"/>
    <w:rsid w:val="00E11FDC"/>
    <w:rsid w:val="00E1232C"/>
    <w:rsid w:val="00E125AD"/>
    <w:rsid w:val="00E1263E"/>
    <w:rsid w:val="00E12F2E"/>
    <w:rsid w:val="00E1451C"/>
    <w:rsid w:val="00E14BAF"/>
    <w:rsid w:val="00E15208"/>
    <w:rsid w:val="00E1608D"/>
    <w:rsid w:val="00E16656"/>
    <w:rsid w:val="00E1690F"/>
    <w:rsid w:val="00E16F16"/>
    <w:rsid w:val="00E173A2"/>
    <w:rsid w:val="00E176A3"/>
    <w:rsid w:val="00E17E4F"/>
    <w:rsid w:val="00E2108D"/>
    <w:rsid w:val="00E21558"/>
    <w:rsid w:val="00E2404F"/>
    <w:rsid w:val="00E24154"/>
    <w:rsid w:val="00E24BE1"/>
    <w:rsid w:val="00E24D9F"/>
    <w:rsid w:val="00E2622C"/>
    <w:rsid w:val="00E2693A"/>
    <w:rsid w:val="00E27414"/>
    <w:rsid w:val="00E3025C"/>
    <w:rsid w:val="00E3134A"/>
    <w:rsid w:val="00E3159C"/>
    <w:rsid w:val="00E32D68"/>
    <w:rsid w:val="00E34A67"/>
    <w:rsid w:val="00E34D5A"/>
    <w:rsid w:val="00E35D08"/>
    <w:rsid w:val="00E362E6"/>
    <w:rsid w:val="00E36CD9"/>
    <w:rsid w:val="00E36DF2"/>
    <w:rsid w:val="00E37B42"/>
    <w:rsid w:val="00E37D53"/>
    <w:rsid w:val="00E37FEF"/>
    <w:rsid w:val="00E439C2"/>
    <w:rsid w:val="00E43E0F"/>
    <w:rsid w:val="00E445E8"/>
    <w:rsid w:val="00E44DA1"/>
    <w:rsid w:val="00E45323"/>
    <w:rsid w:val="00E45468"/>
    <w:rsid w:val="00E4591B"/>
    <w:rsid w:val="00E507C6"/>
    <w:rsid w:val="00E5099A"/>
    <w:rsid w:val="00E50BB5"/>
    <w:rsid w:val="00E5210F"/>
    <w:rsid w:val="00E52472"/>
    <w:rsid w:val="00E52B19"/>
    <w:rsid w:val="00E52E2F"/>
    <w:rsid w:val="00E540C3"/>
    <w:rsid w:val="00E551F9"/>
    <w:rsid w:val="00E55B0D"/>
    <w:rsid w:val="00E55CF6"/>
    <w:rsid w:val="00E57B62"/>
    <w:rsid w:val="00E6095E"/>
    <w:rsid w:val="00E62747"/>
    <w:rsid w:val="00E63263"/>
    <w:rsid w:val="00E63EFD"/>
    <w:rsid w:val="00E646DF"/>
    <w:rsid w:val="00E66294"/>
    <w:rsid w:val="00E66299"/>
    <w:rsid w:val="00E677C8"/>
    <w:rsid w:val="00E67CEF"/>
    <w:rsid w:val="00E70435"/>
    <w:rsid w:val="00E7255D"/>
    <w:rsid w:val="00E72CC2"/>
    <w:rsid w:val="00E73388"/>
    <w:rsid w:val="00E74AE0"/>
    <w:rsid w:val="00E74E55"/>
    <w:rsid w:val="00E754BB"/>
    <w:rsid w:val="00E75D76"/>
    <w:rsid w:val="00E8012A"/>
    <w:rsid w:val="00E80C25"/>
    <w:rsid w:val="00E82585"/>
    <w:rsid w:val="00E8296B"/>
    <w:rsid w:val="00E832D2"/>
    <w:rsid w:val="00E834D3"/>
    <w:rsid w:val="00E837A1"/>
    <w:rsid w:val="00E83E4E"/>
    <w:rsid w:val="00E86ED6"/>
    <w:rsid w:val="00E87929"/>
    <w:rsid w:val="00E87B36"/>
    <w:rsid w:val="00E903F4"/>
    <w:rsid w:val="00E906FC"/>
    <w:rsid w:val="00E90887"/>
    <w:rsid w:val="00E90EDF"/>
    <w:rsid w:val="00E91755"/>
    <w:rsid w:val="00E91E64"/>
    <w:rsid w:val="00E923E9"/>
    <w:rsid w:val="00E9265F"/>
    <w:rsid w:val="00E9439C"/>
    <w:rsid w:val="00E944CA"/>
    <w:rsid w:val="00E944E3"/>
    <w:rsid w:val="00E95C47"/>
    <w:rsid w:val="00EA0436"/>
    <w:rsid w:val="00EA114D"/>
    <w:rsid w:val="00EA1268"/>
    <w:rsid w:val="00EA13F7"/>
    <w:rsid w:val="00EA15F7"/>
    <w:rsid w:val="00EA1EA6"/>
    <w:rsid w:val="00EA1FEE"/>
    <w:rsid w:val="00EA20C3"/>
    <w:rsid w:val="00EA2CF8"/>
    <w:rsid w:val="00EA3838"/>
    <w:rsid w:val="00EA3EDC"/>
    <w:rsid w:val="00EA48B4"/>
    <w:rsid w:val="00EA48E0"/>
    <w:rsid w:val="00EA6D74"/>
    <w:rsid w:val="00EA7F35"/>
    <w:rsid w:val="00EB0F9A"/>
    <w:rsid w:val="00EB1CC1"/>
    <w:rsid w:val="00EB1F07"/>
    <w:rsid w:val="00EB2665"/>
    <w:rsid w:val="00EB32B0"/>
    <w:rsid w:val="00EB5164"/>
    <w:rsid w:val="00EB5455"/>
    <w:rsid w:val="00EB5A4D"/>
    <w:rsid w:val="00EB6877"/>
    <w:rsid w:val="00EB72E3"/>
    <w:rsid w:val="00EB754D"/>
    <w:rsid w:val="00EB7EAC"/>
    <w:rsid w:val="00EC0455"/>
    <w:rsid w:val="00EC0578"/>
    <w:rsid w:val="00EC0B7C"/>
    <w:rsid w:val="00EC1E91"/>
    <w:rsid w:val="00EC2179"/>
    <w:rsid w:val="00EC3720"/>
    <w:rsid w:val="00EC3CA8"/>
    <w:rsid w:val="00EC53EE"/>
    <w:rsid w:val="00EC5BC9"/>
    <w:rsid w:val="00EC7A1A"/>
    <w:rsid w:val="00ED0409"/>
    <w:rsid w:val="00ED2483"/>
    <w:rsid w:val="00ED3642"/>
    <w:rsid w:val="00ED37BA"/>
    <w:rsid w:val="00ED3885"/>
    <w:rsid w:val="00ED3AC0"/>
    <w:rsid w:val="00ED3C79"/>
    <w:rsid w:val="00ED52C1"/>
    <w:rsid w:val="00ED53E1"/>
    <w:rsid w:val="00ED66CF"/>
    <w:rsid w:val="00ED696F"/>
    <w:rsid w:val="00ED6E64"/>
    <w:rsid w:val="00ED6F37"/>
    <w:rsid w:val="00ED70CD"/>
    <w:rsid w:val="00ED7A0E"/>
    <w:rsid w:val="00ED7CD9"/>
    <w:rsid w:val="00EE0241"/>
    <w:rsid w:val="00EE063C"/>
    <w:rsid w:val="00EE082B"/>
    <w:rsid w:val="00EE09C7"/>
    <w:rsid w:val="00EE1D3C"/>
    <w:rsid w:val="00EE24BC"/>
    <w:rsid w:val="00EE26FF"/>
    <w:rsid w:val="00EE5C5F"/>
    <w:rsid w:val="00EE66B0"/>
    <w:rsid w:val="00EE74A9"/>
    <w:rsid w:val="00EE7839"/>
    <w:rsid w:val="00EE7CB1"/>
    <w:rsid w:val="00EE7CFC"/>
    <w:rsid w:val="00EF02F6"/>
    <w:rsid w:val="00EF072F"/>
    <w:rsid w:val="00EF112E"/>
    <w:rsid w:val="00EF1B6B"/>
    <w:rsid w:val="00EF2231"/>
    <w:rsid w:val="00EF298F"/>
    <w:rsid w:val="00EF459B"/>
    <w:rsid w:val="00EF5235"/>
    <w:rsid w:val="00EF543D"/>
    <w:rsid w:val="00EF5C44"/>
    <w:rsid w:val="00EF6C6A"/>
    <w:rsid w:val="00EF6F26"/>
    <w:rsid w:val="00EF7D36"/>
    <w:rsid w:val="00EF7DD2"/>
    <w:rsid w:val="00F0132A"/>
    <w:rsid w:val="00F01796"/>
    <w:rsid w:val="00F019FC"/>
    <w:rsid w:val="00F02A96"/>
    <w:rsid w:val="00F030A5"/>
    <w:rsid w:val="00F03E38"/>
    <w:rsid w:val="00F0440F"/>
    <w:rsid w:val="00F1023F"/>
    <w:rsid w:val="00F10436"/>
    <w:rsid w:val="00F1093A"/>
    <w:rsid w:val="00F10DF9"/>
    <w:rsid w:val="00F10F11"/>
    <w:rsid w:val="00F114B2"/>
    <w:rsid w:val="00F11D1F"/>
    <w:rsid w:val="00F12CE1"/>
    <w:rsid w:val="00F12ED6"/>
    <w:rsid w:val="00F1397E"/>
    <w:rsid w:val="00F14A84"/>
    <w:rsid w:val="00F15F2C"/>
    <w:rsid w:val="00F17297"/>
    <w:rsid w:val="00F17556"/>
    <w:rsid w:val="00F21333"/>
    <w:rsid w:val="00F21519"/>
    <w:rsid w:val="00F22D5C"/>
    <w:rsid w:val="00F26338"/>
    <w:rsid w:val="00F26FFC"/>
    <w:rsid w:val="00F273F4"/>
    <w:rsid w:val="00F27C91"/>
    <w:rsid w:val="00F27D30"/>
    <w:rsid w:val="00F30731"/>
    <w:rsid w:val="00F31973"/>
    <w:rsid w:val="00F321BF"/>
    <w:rsid w:val="00F330E3"/>
    <w:rsid w:val="00F332ED"/>
    <w:rsid w:val="00F341CA"/>
    <w:rsid w:val="00F349BE"/>
    <w:rsid w:val="00F35891"/>
    <w:rsid w:val="00F35FA7"/>
    <w:rsid w:val="00F37B11"/>
    <w:rsid w:val="00F37D06"/>
    <w:rsid w:val="00F37F45"/>
    <w:rsid w:val="00F40AC1"/>
    <w:rsid w:val="00F411D6"/>
    <w:rsid w:val="00F41377"/>
    <w:rsid w:val="00F432A3"/>
    <w:rsid w:val="00F4365A"/>
    <w:rsid w:val="00F45EDC"/>
    <w:rsid w:val="00F461FE"/>
    <w:rsid w:val="00F473C3"/>
    <w:rsid w:val="00F47604"/>
    <w:rsid w:val="00F52737"/>
    <w:rsid w:val="00F53ACD"/>
    <w:rsid w:val="00F54029"/>
    <w:rsid w:val="00F54108"/>
    <w:rsid w:val="00F542A8"/>
    <w:rsid w:val="00F54311"/>
    <w:rsid w:val="00F568E0"/>
    <w:rsid w:val="00F57CFC"/>
    <w:rsid w:val="00F602BE"/>
    <w:rsid w:val="00F60BF3"/>
    <w:rsid w:val="00F62166"/>
    <w:rsid w:val="00F62F10"/>
    <w:rsid w:val="00F63081"/>
    <w:rsid w:val="00F631BA"/>
    <w:rsid w:val="00F64966"/>
    <w:rsid w:val="00F65D93"/>
    <w:rsid w:val="00F67CF0"/>
    <w:rsid w:val="00F67F35"/>
    <w:rsid w:val="00F70717"/>
    <w:rsid w:val="00F707A9"/>
    <w:rsid w:val="00F70C1A"/>
    <w:rsid w:val="00F71611"/>
    <w:rsid w:val="00F716F7"/>
    <w:rsid w:val="00F71960"/>
    <w:rsid w:val="00F71CFD"/>
    <w:rsid w:val="00F71DBB"/>
    <w:rsid w:val="00F72B3B"/>
    <w:rsid w:val="00F72F61"/>
    <w:rsid w:val="00F74550"/>
    <w:rsid w:val="00F75324"/>
    <w:rsid w:val="00F75472"/>
    <w:rsid w:val="00F767B7"/>
    <w:rsid w:val="00F80033"/>
    <w:rsid w:val="00F806C1"/>
    <w:rsid w:val="00F83365"/>
    <w:rsid w:val="00F83905"/>
    <w:rsid w:val="00F8512E"/>
    <w:rsid w:val="00F854D1"/>
    <w:rsid w:val="00F8565B"/>
    <w:rsid w:val="00F90A3C"/>
    <w:rsid w:val="00F922A8"/>
    <w:rsid w:val="00F9374D"/>
    <w:rsid w:val="00F93767"/>
    <w:rsid w:val="00F93C00"/>
    <w:rsid w:val="00F944DB"/>
    <w:rsid w:val="00F949D1"/>
    <w:rsid w:val="00F94F8B"/>
    <w:rsid w:val="00F9503F"/>
    <w:rsid w:val="00F962F9"/>
    <w:rsid w:val="00F96779"/>
    <w:rsid w:val="00F96A76"/>
    <w:rsid w:val="00F97A75"/>
    <w:rsid w:val="00FA0030"/>
    <w:rsid w:val="00FA01E4"/>
    <w:rsid w:val="00FA0737"/>
    <w:rsid w:val="00FA07DD"/>
    <w:rsid w:val="00FA09AB"/>
    <w:rsid w:val="00FA1552"/>
    <w:rsid w:val="00FA324E"/>
    <w:rsid w:val="00FA3894"/>
    <w:rsid w:val="00FA4701"/>
    <w:rsid w:val="00FA48D3"/>
    <w:rsid w:val="00FA53CD"/>
    <w:rsid w:val="00FA63DB"/>
    <w:rsid w:val="00FA6490"/>
    <w:rsid w:val="00FA6923"/>
    <w:rsid w:val="00FA6E95"/>
    <w:rsid w:val="00FA6FEA"/>
    <w:rsid w:val="00FA758A"/>
    <w:rsid w:val="00FB226E"/>
    <w:rsid w:val="00FB32F1"/>
    <w:rsid w:val="00FB3B3F"/>
    <w:rsid w:val="00FB3CC3"/>
    <w:rsid w:val="00FB3D69"/>
    <w:rsid w:val="00FB4773"/>
    <w:rsid w:val="00FB65AE"/>
    <w:rsid w:val="00FB694B"/>
    <w:rsid w:val="00FC0483"/>
    <w:rsid w:val="00FC0818"/>
    <w:rsid w:val="00FC1110"/>
    <w:rsid w:val="00FC1B88"/>
    <w:rsid w:val="00FC1F38"/>
    <w:rsid w:val="00FC229B"/>
    <w:rsid w:val="00FC289C"/>
    <w:rsid w:val="00FC4C74"/>
    <w:rsid w:val="00FC600F"/>
    <w:rsid w:val="00FC6A54"/>
    <w:rsid w:val="00FC7AD5"/>
    <w:rsid w:val="00FD0979"/>
    <w:rsid w:val="00FD1743"/>
    <w:rsid w:val="00FD1B5A"/>
    <w:rsid w:val="00FD1BF7"/>
    <w:rsid w:val="00FD318E"/>
    <w:rsid w:val="00FD3B4C"/>
    <w:rsid w:val="00FD542D"/>
    <w:rsid w:val="00FD66AE"/>
    <w:rsid w:val="00FD6C7E"/>
    <w:rsid w:val="00FD77E8"/>
    <w:rsid w:val="00FD7DAD"/>
    <w:rsid w:val="00FE0154"/>
    <w:rsid w:val="00FE0228"/>
    <w:rsid w:val="00FE07D0"/>
    <w:rsid w:val="00FE0BF2"/>
    <w:rsid w:val="00FE1079"/>
    <w:rsid w:val="00FE1678"/>
    <w:rsid w:val="00FE5A36"/>
    <w:rsid w:val="00FF3322"/>
    <w:rsid w:val="00FF410C"/>
    <w:rsid w:val="00FF6B83"/>
    <w:rsid w:val="02115AE4"/>
    <w:rsid w:val="02AE6BA3"/>
    <w:rsid w:val="06E7CA62"/>
    <w:rsid w:val="0F7564D9"/>
    <w:rsid w:val="1757CEFE"/>
    <w:rsid w:val="1B399A39"/>
    <w:rsid w:val="1C8EA673"/>
    <w:rsid w:val="20046387"/>
    <w:rsid w:val="21001305"/>
    <w:rsid w:val="22C1F07C"/>
    <w:rsid w:val="260081AA"/>
    <w:rsid w:val="2718BD21"/>
    <w:rsid w:val="279DF096"/>
    <w:rsid w:val="2B8ADE2D"/>
    <w:rsid w:val="2BE4A660"/>
    <w:rsid w:val="2C833A83"/>
    <w:rsid w:val="2D0FA8C9"/>
    <w:rsid w:val="344C43FA"/>
    <w:rsid w:val="38BB3CDD"/>
    <w:rsid w:val="38C2177A"/>
    <w:rsid w:val="38FD5A3E"/>
    <w:rsid w:val="39D6A07D"/>
    <w:rsid w:val="3B0DE2CF"/>
    <w:rsid w:val="3C65AC2F"/>
    <w:rsid w:val="3D7C6040"/>
    <w:rsid w:val="46608556"/>
    <w:rsid w:val="49147BA2"/>
    <w:rsid w:val="495297B1"/>
    <w:rsid w:val="4A110AF5"/>
    <w:rsid w:val="4A69561F"/>
    <w:rsid w:val="4AF6F709"/>
    <w:rsid w:val="4CBBE5C6"/>
    <w:rsid w:val="4EC4FAC7"/>
    <w:rsid w:val="5359B820"/>
    <w:rsid w:val="536AC164"/>
    <w:rsid w:val="5390E406"/>
    <w:rsid w:val="574153D6"/>
    <w:rsid w:val="58A1C434"/>
    <w:rsid w:val="59B2393F"/>
    <w:rsid w:val="5A4B756D"/>
    <w:rsid w:val="5FA14C8A"/>
    <w:rsid w:val="6183240D"/>
    <w:rsid w:val="66277A10"/>
    <w:rsid w:val="682AC26F"/>
    <w:rsid w:val="6C947803"/>
    <w:rsid w:val="6EC013EF"/>
    <w:rsid w:val="6F27D16E"/>
    <w:rsid w:val="7120922B"/>
    <w:rsid w:val="71CE1447"/>
    <w:rsid w:val="72AA80C1"/>
    <w:rsid w:val="738A6798"/>
    <w:rsid w:val="73FC5FEA"/>
    <w:rsid w:val="75082DE1"/>
    <w:rsid w:val="75690B96"/>
    <w:rsid w:val="76A3FE42"/>
    <w:rsid w:val="77A02892"/>
    <w:rsid w:val="7C8227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A9F78"/>
  <w15:chartTrackingRefBased/>
  <w15:docId w15:val="{1B52CBA8-C85F-428E-A862-AB7827B9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78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C05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242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8B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578B7"/>
    <w:pPr>
      <w:outlineLvl w:val="9"/>
    </w:pPr>
  </w:style>
  <w:style w:type="paragraph" w:styleId="TOC1">
    <w:name w:val="toc 1"/>
    <w:basedOn w:val="Normal"/>
    <w:next w:val="Normal"/>
    <w:autoRedefine/>
    <w:uiPriority w:val="39"/>
    <w:unhideWhenUsed/>
    <w:rsid w:val="00211828"/>
    <w:pPr>
      <w:tabs>
        <w:tab w:val="right" w:leader="dot" w:pos="9350"/>
      </w:tabs>
      <w:spacing w:after="100"/>
    </w:pPr>
  </w:style>
  <w:style w:type="character" w:styleId="Hyperlink">
    <w:name w:val="Hyperlink"/>
    <w:basedOn w:val="DefaultParagraphFont"/>
    <w:uiPriority w:val="99"/>
    <w:unhideWhenUsed/>
    <w:rsid w:val="00C578B7"/>
    <w:rPr>
      <w:color w:val="0563C1" w:themeColor="hyperlink"/>
      <w:u w:val="single"/>
    </w:rPr>
  </w:style>
  <w:style w:type="paragraph" w:styleId="FootnoteText">
    <w:name w:val="footnote text"/>
    <w:basedOn w:val="Normal"/>
    <w:link w:val="FootnoteTextChar"/>
    <w:uiPriority w:val="99"/>
    <w:semiHidden/>
    <w:unhideWhenUsed/>
    <w:rsid w:val="002530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3012"/>
    <w:rPr>
      <w:sz w:val="20"/>
      <w:szCs w:val="20"/>
    </w:rPr>
  </w:style>
  <w:style w:type="character" w:styleId="FootnoteReference">
    <w:name w:val="footnote reference"/>
    <w:basedOn w:val="DefaultParagraphFont"/>
    <w:uiPriority w:val="99"/>
    <w:semiHidden/>
    <w:unhideWhenUsed/>
    <w:rsid w:val="00253012"/>
    <w:rPr>
      <w:vertAlign w:val="superscript"/>
    </w:rPr>
  </w:style>
  <w:style w:type="paragraph" w:styleId="ListParagraph">
    <w:name w:val="List Paragraph"/>
    <w:basedOn w:val="Normal"/>
    <w:uiPriority w:val="34"/>
    <w:qFormat/>
    <w:rsid w:val="002F5645"/>
    <w:pPr>
      <w:ind w:left="720"/>
      <w:contextualSpacing/>
    </w:pPr>
  </w:style>
  <w:style w:type="character" w:styleId="CommentReference">
    <w:name w:val="annotation reference"/>
    <w:basedOn w:val="DefaultParagraphFont"/>
    <w:uiPriority w:val="99"/>
    <w:semiHidden/>
    <w:unhideWhenUsed/>
    <w:rsid w:val="002F5645"/>
    <w:rPr>
      <w:sz w:val="16"/>
      <w:szCs w:val="16"/>
    </w:rPr>
  </w:style>
  <w:style w:type="paragraph" w:styleId="CommentText">
    <w:name w:val="annotation text"/>
    <w:basedOn w:val="Normal"/>
    <w:link w:val="CommentTextChar"/>
    <w:uiPriority w:val="99"/>
    <w:unhideWhenUsed/>
    <w:rsid w:val="002F5645"/>
    <w:pPr>
      <w:spacing w:line="240" w:lineRule="auto"/>
    </w:pPr>
    <w:rPr>
      <w:sz w:val="20"/>
      <w:szCs w:val="20"/>
    </w:rPr>
  </w:style>
  <w:style w:type="character" w:customStyle="1" w:styleId="CommentTextChar">
    <w:name w:val="Comment Text Char"/>
    <w:basedOn w:val="DefaultParagraphFont"/>
    <w:link w:val="CommentText"/>
    <w:uiPriority w:val="99"/>
    <w:rsid w:val="002F5645"/>
    <w:rPr>
      <w:sz w:val="20"/>
      <w:szCs w:val="20"/>
    </w:rPr>
  </w:style>
  <w:style w:type="character" w:styleId="Mention">
    <w:name w:val="Mention"/>
    <w:basedOn w:val="DefaultParagraphFont"/>
    <w:uiPriority w:val="99"/>
    <w:unhideWhenUsed/>
    <w:rsid w:val="002F5645"/>
    <w:rPr>
      <w:color w:val="2B579A"/>
      <w:shd w:val="clear" w:color="auto" w:fill="E6E6E6"/>
    </w:rPr>
  </w:style>
  <w:style w:type="character" w:customStyle="1" w:styleId="Heading2Char">
    <w:name w:val="Heading 2 Char"/>
    <w:basedOn w:val="DefaultParagraphFont"/>
    <w:link w:val="Heading2"/>
    <w:uiPriority w:val="9"/>
    <w:rsid w:val="00EC0578"/>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EC0578"/>
    <w:pPr>
      <w:spacing w:after="100"/>
      <w:ind w:left="220"/>
    </w:pPr>
  </w:style>
  <w:style w:type="character" w:customStyle="1" w:styleId="Heading3Char">
    <w:name w:val="Heading 3 Char"/>
    <w:basedOn w:val="DefaultParagraphFont"/>
    <w:link w:val="Heading3"/>
    <w:uiPriority w:val="9"/>
    <w:rsid w:val="0072429F"/>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653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65398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unhideWhenUsed/>
    <w:rsid w:val="00D41B8E"/>
    <w:pPr>
      <w:spacing w:after="100"/>
      <w:ind w:left="440"/>
    </w:pPr>
  </w:style>
  <w:style w:type="character" w:styleId="UnresolvedMention">
    <w:name w:val="Unresolved Mention"/>
    <w:basedOn w:val="DefaultParagraphFont"/>
    <w:uiPriority w:val="99"/>
    <w:semiHidden/>
    <w:unhideWhenUsed/>
    <w:rsid w:val="0095501A"/>
    <w:rPr>
      <w:color w:val="605E5C"/>
      <w:shd w:val="clear" w:color="auto" w:fill="E1DFDD"/>
    </w:rPr>
  </w:style>
  <w:style w:type="character" w:customStyle="1" w:styleId="poms-italic">
    <w:name w:val="poms-italic"/>
    <w:basedOn w:val="DefaultParagraphFont"/>
    <w:rsid w:val="00F349BE"/>
  </w:style>
  <w:style w:type="paragraph" w:styleId="CommentSubject">
    <w:name w:val="annotation subject"/>
    <w:basedOn w:val="CommentText"/>
    <w:next w:val="CommentText"/>
    <w:link w:val="CommentSubjectChar"/>
    <w:uiPriority w:val="99"/>
    <w:semiHidden/>
    <w:unhideWhenUsed/>
    <w:rsid w:val="003A64DC"/>
    <w:rPr>
      <w:b/>
      <w:bCs/>
    </w:rPr>
  </w:style>
  <w:style w:type="character" w:customStyle="1" w:styleId="CommentSubjectChar">
    <w:name w:val="Comment Subject Char"/>
    <w:basedOn w:val="CommentTextChar"/>
    <w:link w:val="CommentSubject"/>
    <w:uiPriority w:val="99"/>
    <w:semiHidden/>
    <w:rsid w:val="003A64DC"/>
    <w:rPr>
      <w:b/>
      <w:bCs/>
      <w:sz w:val="20"/>
      <w:szCs w:val="20"/>
    </w:rPr>
  </w:style>
  <w:style w:type="character" w:styleId="FollowedHyperlink">
    <w:name w:val="FollowedHyperlink"/>
    <w:basedOn w:val="DefaultParagraphFont"/>
    <w:uiPriority w:val="99"/>
    <w:semiHidden/>
    <w:unhideWhenUsed/>
    <w:rsid w:val="003E3FA4"/>
    <w:rPr>
      <w:color w:val="954F72" w:themeColor="followedHyperlink"/>
      <w:u w:val="single"/>
    </w:rPr>
  </w:style>
  <w:style w:type="paragraph" w:styleId="Header">
    <w:name w:val="header"/>
    <w:basedOn w:val="Normal"/>
    <w:link w:val="HeaderChar"/>
    <w:uiPriority w:val="99"/>
    <w:unhideWhenUsed/>
    <w:rsid w:val="00687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929"/>
  </w:style>
  <w:style w:type="paragraph" w:styleId="Footer">
    <w:name w:val="footer"/>
    <w:basedOn w:val="Normal"/>
    <w:link w:val="FooterChar"/>
    <w:uiPriority w:val="99"/>
    <w:unhideWhenUsed/>
    <w:rsid w:val="00687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929"/>
  </w:style>
  <w:style w:type="paragraph" w:styleId="Title">
    <w:name w:val="Title"/>
    <w:aliases w:val="DFR - Title"/>
    <w:basedOn w:val="Normal"/>
    <w:next w:val="Normal"/>
    <w:link w:val="TitleChar"/>
    <w:uiPriority w:val="10"/>
    <w:qFormat/>
    <w:rsid w:val="00B87ADD"/>
    <w:pPr>
      <w:spacing w:after="200" w:line="276" w:lineRule="auto"/>
      <w:jc w:val="center"/>
    </w:pPr>
    <w:rPr>
      <w:rFonts w:ascii="Franklin Gothic Demi Cond" w:eastAsia="Times New Roman" w:hAnsi="Franklin Gothic Demi Cond" w:cs="Calibri"/>
      <w:bCs/>
      <w:sz w:val="36"/>
    </w:rPr>
  </w:style>
  <w:style w:type="character" w:customStyle="1" w:styleId="TitleChar">
    <w:name w:val="Title Char"/>
    <w:aliases w:val="DFR - Title Char"/>
    <w:basedOn w:val="DefaultParagraphFont"/>
    <w:link w:val="Title"/>
    <w:uiPriority w:val="10"/>
    <w:rsid w:val="00B87ADD"/>
    <w:rPr>
      <w:rFonts w:ascii="Franklin Gothic Demi Cond" w:eastAsia="Times New Roman" w:hAnsi="Franklin Gothic Demi Cond" w:cs="Calibri"/>
      <w:bCs/>
      <w:sz w:val="36"/>
    </w:rPr>
  </w:style>
  <w:style w:type="paragraph" w:styleId="NoSpacing">
    <w:name w:val="No Spacing"/>
    <w:link w:val="NoSpacingChar"/>
    <w:uiPriority w:val="1"/>
    <w:qFormat/>
    <w:rsid w:val="00E944CA"/>
    <w:pPr>
      <w:spacing w:after="0" w:line="240" w:lineRule="auto"/>
    </w:pPr>
    <w:rPr>
      <w:rFonts w:eastAsiaTheme="minorEastAsia"/>
    </w:rPr>
  </w:style>
  <w:style w:type="character" w:customStyle="1" w:styleId="NoSpacingChar">
    <w:name w:val="No Spacing Char"/>
    <w:basedOn w:val="DefaultParagraphFont"/>
    <w:link w:val="NoSpacing"/>
    <w:uiPriority w:val="1"/>
    <w:rsid w:val="00E944CA"/>
    <w:rPr>
      <w:rFonts w:eastAsiaTheme="minorEastAsia"/>
    </w:rPr>
  </w:style>
  <w:style w:type="paragraph" w:styleId="Revision">
    <w:name w:val="Revision"/>
    <w:hidden/>
    <w:uiPriority w:val="99"/>
    <w:semiHidden/>
    <w:rsid w:val="004412D5"/>
    <w:pPr>
      <w:spacing w:after="0" w:line="240" w:lineRule="auto"/>
    </w:pPr>
  </w:style>
  <w:style w:type="character" w:styleId="Emphasis">
    <w:name w:val="Emphasis"/>
    <w:basedOn w:val="DefaultParagraphFont"/>
    <w:uiPriority w:val="20"/>
    <w:qFormat/>
    <w:rsid w:val="00B85AD7"/>
    <w:rPr>
      <w:i/>
      <w:iCs/>
    </w:rPr>
  </w:style>
  <w:style w:type="character" w:customStyle="1" w:styleId="colon-for-citation-subtitle">
    <w:name w:val="colon-for-citation-subtitle"/>
    <w:basedOn w:val="DefaultParagraphFont"/>
    <w:rsid w:val="00FA53CD"/>
  </w:style>
  <w:style w:type="character" w:customStyle="1" w:styleId="Subtitle1">
    <w:name w:val="Subtitle1"/>
    <w:basedOn w:val="DefaultParagraphFont"/>
    <w:rsid w:val="007C2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3002">
      <w:bodyDiv w:val="1"/>
      <w:marLeft w:val="0"/>
      <w:marRight w:val="0"/>
      <w:marTop w:val="0"/>
      <w:marBottom w:val="0"/>
      <w:divBdr>
        <w:top w:val="none" w:sz="0" w:space="0" w:color="auto"/>
        <w:left w:val="none" w:sz="0" w:space="0" w:color="auto"/>
        <w:bottom w:val="none" w:sz="0" w:space="0" w:color="auto"/>
        <w:right w:val="none" w:sz="0" w:space="0" w:color="auto"/>
      </w:divBdr>
      <w:divsChild>
        <w:div w:id="93092149">
          <w:marLeft w:val="240"/>
          <w:marRight w:val="0"/>
          <w:marTop w:val="60"/>
          <w:marBottom w:val="60"/>
          <w:divBdr>
            <w:top w:val="none" w:sz="0" w:space="0" w:color="auto"/>
            <w:left w:val="none" w:sz="0" w:space="0" w:color="auto"/>
            <w:bottom w:val="none" w:sz="0" w:space="0" w:color="auto"/>
            <w:right w:val="none" w:sz="0" w:space="0" w:color="auto"/>
          </w:divBdr>
          <w:divsChild>
            <w:div w:id="1475678139">
              <w:marLeft w:val="0"/>
              <w:marRight w:val="0"/>
              <w:marTop w:val="0"/>
              <w:marBottom w:val="0"/>
              <w:divBdr>
                <w:top w:val="none" w:sz="0" w:space="0" w:color="auto"/>
                <w:left w:val="none" w:sz="0" w:space="0" w:color="auto"/>
                <w:bottom w:val="none" w:sz="0" w:space="0" w:color="auto"/>
                <w:right w:val="none" w:sz="0" w:space="0" w:color="auto"/>
              </w:divBdr>
            </w:div>
          </w:divsChild>
        </w:div>
        <w:div w:id="155846477">
          <w:marLeft w:val="240"/>
          <w:marRight w:val="0"/>
          <w:marTop w:val="60"/>
          <w:marBottom w:val="60"/>
          <w:divBdr>
            <w:top w:val="none" w:sz="0" w:space="0" w:color="auto"/>
            <w:left w:val="none" w:sz="0" w:space="0" w:color="auto"/>
            <w:bottom w:val="none" w:sz="0" w:space="0" w:color="auto"/>
            <w:right w:val="none" w:sz="0" w:space="0" w:color="auto"/>
          </w:divBdr>
          <w:divsChild>
            <w:div w:id="862743116">
              <w:marLeft w:val="0"/>
              <w:marRight w:val="0"/>
              <w:marTop w:val="0"/>
              <w:marBottom w:val="0"/>
              <w:divBdr>
                <w:top w:val="none" w:sz="0" w:space="0" w:color="auto"/>
                <w:left w:val="none" w:sz="0" w:space="0" w:color="auto"/>
                <w:bottom w:val="none" w:sz="0" w:space="0" w:color="auto"/>
                <w:right w:val="none" w:sz="0" w:space="0" w:color="auto"/>
              </w:divBdr>
            </w:div>
          </w:divsChild>
        </w:div>
        <w:div w:id="582956982">
          <w:marLeft w:val="240"/>
          <w:marRight w:val="0"/>
          <w:marTop w:val="60"/>
          <w:marBottom w:val="60"/>
          <w:divBdr>
            <w:top w:val="none" w:sz="0" w:space="0" w:color="auto"/>
            <w:left w:val="none" w:sz="0" w:space="0" w:color="auto"/>
            <w:bottom w:val="none" w:sz="0" w:space="0" w:color="auto"/>
            <w:right w:val="none" w:sz="0" w:space="0" w:color="auto"/>
          </w:divBdr>
          <w:divsChild>
            <w:div w:id="869799428">
              <w:marLeft w:val="0"/>
              <w:marRight w:val="0"/>
              <w:marTop w:val="0"/>
              <w:marBottom w:val="0"/>
              <w:divBdr>
                <w:top w:val="none" w:sz="0" w:space="0" w:color="auto"/>
                <w:left w:val="none" w:sz="0" w:space="0" w:color="auto"/>
                <w:bottom w:val="none" w:sz="0" w:space="0" w:color="auto"/>
                <w:right w:val="none" w:sz="0" w:space="0" w:color="auto"/>
              </w:divBdr>
            </w:div>
          </w:divsChild>
        </w:div>
        <w:div w:id="716508301">
          <w:marLeft w:val="240"/>
          <w:marRight w:val="0"/>
          <w:marTop w:val="60"/>
          <w:marBottom w:val="60"/>
          <w:divBdr>
            <w:top w:val="none" w:sz="0" w:space="0" w:color="auto"/>
            <w:left w:val="none" w:sz="0" w:space="0" w:color="auto"/>
            <w:bottom w:val="none" w:sz="0" w:space="0" w:color="auto"/>
            <w:right w:val="none" w:sz="0" w:space="0" w:color="auto"/>
          </w:divBdr>
          <w:divsChild>
            <w:div w:id="827014873">
              <w:marLeft w:val="0"/>
              <w:marRight w:val="0"/>
              <w:marTop w:val="0"/>
              <w:marBottom w:val="0"/>
              <w:divBdr>
                <w:top w:val="none" w:sz="0" w:space="0" w:color="auto"/>
                <w:left w:val="none" w:sz="0" w:space="0" w:color="auto"/>
                <w:bottom w:val="none" w:sz="0" w:space="0" w:color="auto"/>
                <w:right w:val="none" w:sz="0" w:space="0" w:color="auto"/>
              </w:divBdr>
            </w:div>
          </w:divsChild>
        </w:div>
        <w:div w:id="891770322">
          <w:marLeft w:val="240"/>
          <w:marRight w:val="0"/>
          <w:marTop w:val="60"/>
          <w:marBottom w:val="60"/>
          <w:divBdr>
            <w:top w:val="none" w:sz="0" w:space="0" w:color="auto"/>
            <w:left w:val="none" w:sz="0" w:space="0" w:color="auto"/>
            <w:bottom w:val="none" w:sz="0" w:space="0" w:color="auto"/>
            <w:right w:val="none" w:sz="0" w:space="0" w:color="auto"/>
          </w:divBdr>
          <w:divsChild>
            <w:div w:id="1828280301">
              <w:marLeft w:val="0"/>
              <w:marRight w:val="0"/>
              <w:marTop w:val="0"/>
              <w:marBottom w:val="0"/>
              <w:divBdr>
                <w:top w:val="none" w:sz="0" w:space="0" w:color="auto"/>
                <w:left w:val="none" w:sz="0" w:space="0" w:color="auto"/>
                <w:bottom w:val="none" w:sz="0" w:space="0" w:color="auto"/>
                <w:right w:val="none" w:sz="0" w:space="0" w:color="auto"/>
              </w:divBdr>
            </w:div>
          </w:divsChild>
        </w:div>
        <w:div w:id="1024405066">
          <w:marLeft w:val="240"/>
          <w:marRight w:val="0"/>
          <w:marTop w:val="60"/>
          <w:marBottom w:val="60"/>
          <w:divBdr>
            <w:top w:val="none" w:sz="0" w:space="0" w:color="auto"/>
            <w:left w:val="none" w:sz="0" w:space="0" w:color="auto"/>
            <w:bottom w:val="none" w:sz="0" w:space="0" w:color="auto"/>
            <w:right w:val="none" w:sz="0" w:space="0" w:color="auto"/>
          </w:divBdr>
          <w:divsChild>
            <w:div w:id="1886871447">
              <w:marLeft w:val="0"/>
              <w:marRight w:val="0"/>
              <w:marTop w:val="0"/>
              <w:marBottom w:val="0"/>
              <w:divBdr>
                <w:top w:val="none" w:sz="0" w:space="0" w:color="auto"/>
                <w:left w:val="none" w:sz="0" w:space="0" w:color="auto"/>
                <w:bottom w:val="none" w:sz="0" w:space="0" w:color="auto"/>
                <w:right w:val="none" w:sz="0" w:space="0" w:color="auto"/>
              </w:divBdr>
            </w:div>
          </w:divsChild>
        </w:div>
        <w:div w:id="1344749313">
          <w:marLeft w:val="240"/>
          <w:marRight w:val="0"/>
          <w:marTop w:val="60"/>
          <w:marBottom w:val="60"/>
          <w:divBdr>
            <w:top w:val="none" w:sz="0" w:space="0" w:color="auto"/>
            <w:left w:val="none" w:sz="0" w:space="0" w:color="auto"/>
            <w:bottom w:val="none" w:sz="0" w:space="0" w:color="auto"/>
            <w:right w:val="none" w:sz="0" w:space="0" w:color="auto"/>
          </w:divBdr>
          <w:divsChild>
            <w:div w:id="501822807">
              <w:marLeft w:val="0"/>
              <w:marRight w:val="0"/>
              <w:marTop w:val="0"/>
              <w:marBottom w:val="0"/>
              <w:divBdr>
                <w:top w:val="none" w:sz="0" w:space="0" w:color="auto"/>
                <w:left w:val="none" w:sz="0" w:space="0" w:color="auto"/>
                <w:bottom w:val="none" w:sz="0" w:space="0" w:color="auto"/>
                <w:right w:val="none" w:sz="0" w:space="0" w:color="auto"/>
              </w:divBdr>
            </w:div>
          </w:divsChild>
        </w:div>
        <w:div w:id="1590236773">
          <w:marLeft w:val="240"/>
          <w:marRight w:val="0"/>
          <w:marTop w:val="60"/>
          <w:marBottom w:val="60"/>
          <w:divBdr>
            <w:top w:val="none" w:sz="0" w:space="0" w:color="auto"/>
            <w:left w:val="none" w:sz="0" w:space="0" w:color="auto"/>
            <w:bottom w:val="none" w:sz="0" w:space="0" w:color="auto"/>
            <w:right w:val="none" w:sz="0" w:space="0" w:color="auto"/>
          </w:divBdr>
          <w:divsChild>
            <w:div w:id="65883020">
              <w:marLeft w:val="0"/>
              <w:marRight w:val="0"/>
              <w:marTop w:val="0"/>
              <w:marBottom w:val="0"/>
              <w:divBdr>
                <w:top w:val="none" w:sz="0" w:space="0" w:color="auto"/>
                <w:left w:val="none" w:sz="0" w:space="0" w:color="auto"/>
                <w:bottom w:val="none" w:sz="0" w:space="0" w:color="auto"/>
                <w:right w:val="none" w:sz="0" w:space="0" w:color="auto"/>
              </w:divBdr>
            </w:div>
          </w:divsChild>
        </w:div>
        <w:div w:id="1617831491">
          <w:marLeft w:val="240"/>
          <w:marRight w:val="0"/>
          <w:marTop w:val="60"/>
          <w:marBottom w:val="60"/>
          <w:divBdr>
            <w:top w:val="none" w:sz="0" w:space="0" w:color="auto"/>
            <w:left w:val="none" w:sz="0" w:space="0" w:color="auto"/>
            <w:bottom w:val="none" w:sz="0" w:space="0" w:color="auto"/>
            <w:right w:val="none" w:sz="0" w:space="0" w:color="auto"/>
          </w:divBdr>
          <w:divsChild>
            <w:div w:id="1588731418">
              <w:marLeft w:val="0"/>
              <w:marRight w:val="0"/>
              <w:marTop w:val="0"/>
              <w:marBottom w:val="0"/>
              <w:divBdr>
                <w:top w:val="none" w:sz="0" w:space="0" w:color="auto"/>
                <w:left w:val="none" w:sz="0" w:space="0" w:color="auto"/>
                <w:bottom w:val="none" w:sz="0" w:space="0" w:color="auto"/>
                <w:right w:val="none" w:sz="0" w:space="0" w:color="auto"/>
              </w:divBdr>
            </w:div>
          </w:divsChild>
        </w:div>
        <w:div w:id="2022662524">
          <w:marLeft w:val="240"/>
          <w:marRight w:val="0"/>
          <w:marTop w:val="60"/>
          <w:marBottom w:val="60"/>
          <w:divBdr>
            <w:top w:val="none" w:sz="0" w:space="0" w:color="auto"/>
            <w:left w:val="none" w:sz="0" w:space="0" w:color="auto"/>
            <w:bottom w:val="none" w:sz="0" w:space="0" w:color="auto"/>
            <w:right w:val="none" w:sz="0" w:space="0" w:color="auto"/>
          </w:divBdr>
          <w:divsChild>
            <w:div w:id="19827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2889">
      <w:bodyDiv w:val="1"/>
      <w:marLeft w:val="0"/>
      <w:marRight w:val="0"/>
      <w:marTop w:val="0"/>
      <w:marBottom w:val="0"/>
      <w:divBdr>
        <w:top w:val="none" w:sz="0" w:space="0" w:color="auto"/>
        <w:left w:val="none" w:sz="0" w:space="0" w:color="auto"/>
        <w:bottom w:val="none" w:sz="0" w:space="0" w:color="auto"/>
        <w:right w:val="none" w:sz="0" w:space="0" w:color="auto"/>
      </w:divBdr>
    </w:div>
    <w:div w:id="380710091">
      <w:bodyDiv w:val="1"/>
      <w:marLeft w:val="0"/>
      <w:marRight w:val="0"/>
      <w:marTop w:val="0"/>
      <w:marBottom w:val="0"/>
      <w:divBdr>
        <w:top w:val="none" w:sz="0" w:space="0" w:color="auto"/>
        <w:left w:val="none" w:sz="0" w:space="0" w:color="auto"/>
        <w:bottom w:val="none" w:sz="0" w:space="0" w:color="auto"/>
        <w:right w:val="none" w:sz="0" w:space="0" w:color="auto"/>
      </w:divBdr>
    </w:div>
    <w:div w:id="519394066">
      <w:bodyDiv w:val="1"/>
      <w:marLeft w:val="0"/>
      <w:marRight w:val="0"/>
      <w:marTop w:val="0"/>
      <w:marBottom w:val="0"/>
      <w:divBdr>
        <w:top w:val="none" w:sz="0" w:space="0" w:color="auto"/>
        <w:left w:val="none" w:sz="0" w:space="0" w:color="auto"/>
        <w:bottom w:val="none" w:sz="0" w:space="0" w:color="auto"/>
        <w:right w:val="none" w:sz="0" w:space="0" w:color="auto"/>
      </w:divBdr>
    </w:div>
    <w:div w:id="525021537">
      <w:bodyDiv w:val="1"/>
      <w:marLeft w:val="0"/>
      <w:marRight w:val="0"/>
      <w:marTop w:val="0"/>
      <w:marBottom w:val="0"/>
      <w:divBdr>
        <w:top w:val="none" w:sz="0" w:space="0" w:color="auto"/>
        <w:left w:val="none" w:sz="0" w:space="0" w:color="auto"/>
        <w:bottom w:val="none" w:sz="0" w:space="0" w:color="auto"/>
        <w:right w:val="none" w:sz="0" w:space="0" w:color="auto"/>
      </w:divBdr>
    </w:div>
    <w:div w:id="619914700">
      <w:bodyDiv w:val="1"/>
      <w:marLeft w:val="0"/>
      <w:marRight w:val="0"/>
      <w:marTop w:val="0"/>
      <w:marBottom w:val="0"/>
      <w:divBdr>
        <w:top w:val="none" w:sz="0" w:space="0" w:color="auto"/>
        <w:left w:val="none" w:sz="0" w:space="0" w:color="auto"/>
        <w:bottom w:val="none" w:sz="0" w:space="0" w:color="auto"/>
        <w:right w:val="none" w:sz="0" w:space="0" w:color="auto"/>
      </w:divBdr>
    </w:div>
    <w:div w:id="627126811">
      <w:bodyDiv w:val="1"/>
      <w:marLeft w:val="0"/>
      <w:marRight w:val="0"/>
      <w:marTop w:val="0"/>
      <w:marBottom w:val="0"/>
      <w:divBdr>
        <w:top w:val="none" w:sz="0" w:space="0" w:color="auto"/>
        <w:left w:val="none" w:sz="0" w:space="0" w:color="auto"/>
        <w:bottom w:val="none" w:sz="0" w:space="0" w:color="auto"/>
        <w:right w:val="none" w:sz="0" w:space="0" w:color="auto"/>
      </w:divBdr>
    </w:div>
    <w:div w:id="771365506">
      <w:bodyDiv w:val="1"/>
      <w:marLeft w:val="0"/>
      <w:marRight w:val="0"/>
      <w:marTop w:val="0"/>
      <w:marBottom w:val="0"/>
      <w:divBdr>
        <w:top w:val="none" w:sz="0" w:space="0" w:color="auto"/>
        <w:left w:val="none" w:sz="0" w:space="0" w:color="auto"/>
        <w:bottom w:val="none" w:sz="0" w:space="0" w:color="auto"/>
        <w:right w:val="none" w:sz="0" w:space="0" w:color="auto"/>
      </w:divBdr>
    </w:div>
    <w:div w:id="795876725">
      <w:bodyDiv w:val="1"/>
      <w:marLeft w:val="0"/>
      <w:marRight w:val="0"/>
      <w:marTop w:val="0"/>
      <w:marBottom w:val="0"/>
      <w:divBdr>
        <w:top w:val="none" w:sz="0" w:space="0" w:color="auto"/>
        <w:left w:val="none" w:sz="0" w:space="0" w:color="auto"/>
        <w:bottom w:val="none" w:sz="0" w:space="0" w:color="auto"/>
        <w:right w:val="none" w:sz="0" w:space="0" w:color="auto"/>
      </w:divBdr>
    </w:div>
    <w:div w:id="1049451666">
      <w:bodyDiv w:val="1"/>
      <w:marLeft w:val="0"/>
      <w:marRight w:val="0"/>
      <w:marTop w:val="0"/>
      <w:marBottom w:val="0"/>
      <w:divBdr>
        <w:top w:val="none" w:sz="0" w:space="0" w:color="auto"/>
        <w:left w:val="none" w:sz="0" w:space="0" w:color="auto"/>
        <w:bottom w:val="none" w:sz="0" w:space="0" w:color="auto"/>
        <w:right w:val="none" w:sz="0" w:space="0" w:color="auto"/>
      </w:divBdr>
    </w:div>
    <w:div w:id="1416708133">
      <w:bodyDiv w:val="1"/>
      <w:marLeft w:val="0"/>
      <w:marRight w:val="0"/>
      <w:marTop w:val="0"/>
      <w:marBottom w:val="0"/>
      <w:divBdr>
        <w:top w:val="none" w:sz="0" w:space="0" w:color="auto"/>
        <w:left w:val="none" w:sz="0" w:space="0" w:color="auto"/>
        <w:bottom w:val="none" w:sz="0" w:space="0" w:color="auto"/>
        <w:right w:val="none" w:sz="0" w:space="0" w:color="auto"/>
      </w:divBdr>
    </w:div>
    <w:div w:id="1847746236">
      <w:bodyDiv w:val="1"/>
      <w:marLeft w:val="0"/>
      <w:marRight w:val="0"/>
      <w:marTop w:val="0"/>
      <w:marBottom w:val="0"/>
      <w:divBdr>
        <w:top w:val="none" w:sz="0" w:space="0" w:color="auto"/>
        <w:left w:val="none" w:sz="0" w:space="0" w:color="auto"/>
        <w:bottom w:val="none" w:sz="0" w:space="0" w:color="auto"/>
        <w:right w:val="none" w:sz="0" w:space="0" w:color="auto"/>
      </w:divBdr>
    </w:div>
    <w:div w:id="1848979890">
      <w:bodyDiv w:val="1"/>
      <w:marLeft w:val="0"/>
      <w:marRight w:val="0"/>
      <w:marTop w:val="0"/>
      <w:marBottom w:val="0"/>
      <w:divBdr>
        <w:top w:val="none" w:sz="0" w:space="0" w:color="auto"/>
        <w:left w:val="none" w:sz="0" w:space="0" w:color="auto"/>
        <w:bottom w:val="none" w:sz="0" w:space="0" w:color="auto"/>
        <w:right w:val="none" w:sz="0" w:space="0" w:color="auto"/>
      </w:divBdr>
    </w:div>
    <w:div w:id="1915625318">
      <w:bodyDiv w:val="1"/>
      <w:marLeft w:val="0"/>
      <w:marRight w:val="0"/>
      <w:marTop w:val="0"/>
      <w:marBottom w:val="0"/>
      <w:divBdr>
        <w:top w:val="none" w:sz="0" w:space="0" w:color="auto"/>
        <w:left w:val="none" w:sz="0" w:space="0" w:color="auto"/>
        <w:bottom w:val="none" w:sz="0" w:space="0" w:color="auto"/>
        <w:right w:val="none" w:sz="0" w:space="0" w:color="auto"/>
      </w:divBdr>
    </w:div>
    <w:div w:id="1917281071">
      <w:bodyDiv w:val="1"/>
      <w:marLeft w:val="0"/>
      <w:marRight w:val="0"/>
      <w:marTop w:val="0"/>
      <w:marBottom w:val="0"/>
      <w:divBdr>
        <w:top w:val="none" w:sz="0" w:space="0" w:color="auto"/>
        <w:left w:val="none" w:sz="0" w:space="0" w:color="auto"/>
        <w:bottom w:val="none" w:sz="0" w:space="0" w:color="auto"/>
        <w:right w:val="none" w:sz="0" w:space="0" w:color="auto"/>
      </w:divBdr>
    </w:div>
    <w:div w:id="201811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aw.cornell.edu/definitions/index.php?width=840&amp;height=800&amp;iframe=true&amp;def_id=4f45a7bce5d1af4dc24f4ec36e6dcb82&amp;term_occur=999&amp;term_src=Title:45:Chapter:A:Subchapter:B:Part:156:Subpart:B:156.100" TargetMode="External"/><Relationship Id="rId18" Type="http://schemas.openxmlformats.org/officeDocument/2006/relationships/hyperlink" Target="https://www.law.cornell.edu/definitions/index.php?width=840&amp;height=800&amp;iframe=true&amp;def_id=d7feb22d10f4e484fc44f7ad02264069&amp;term_occur=999&amp;term_src=Title:45:Chapter:A:Subchapter:B:Part:156:Subpart:B:156.10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law.cornell.edu/definitions/index.php?width=840&amp;height=800&amp;iframe=true&amp;def_id=2b74e43866fc5b8f1f15155c434c7c1d&amp;term_occur=999&amp;term_src=Title:45:Chapter:A:Subchapter:B:Part:156:Subpart:B:156.100" TargetMode="External"/><Relationship Id="rId7" Type="http://schemas.openxmlformats.org/officeDocument/2006/relationships/endnotes" Target="endnotes.xml"/><Relationship Id="rId12" Type="http://schemas.openxmlformats.org/officeDocument/2006/relationships/hyperlink" Target="https://www.law.cornell.edu/definitions/index.php?width=840&amp;height=800&amp;iframe=true&amp;def_id=1dabc8d1dcd88d8204dc7fa28a38a762&amp;term_occur=999&amp;term_src=Title:45:Chapter:A:Subchapter:B:Part:156:Subpart:B:156.100" TargetMode="External"/><Relationship Id="rId17" Type="http://schemas.openxmlformats.org/officeDocument/2006/relationships/hyperlink" Target="https://www.law.cornell.edu/definitions/index.php?width=840&amp;height=800&amp;iframe=true&amp;def_id=7877abaa9ca0f28a97952f38d3912949&amp;term_occur=999&amp;term_src=Title:45:Chapter:A:Subchapter:B:Part:156:Subpart:B:156.10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law.cornell.edu/definitions/index.php?width=840&amp;height=800&amp;iframe=true&amp;def_id=1dabc8d1dcd88d8204dc7fa28a38a762&amp;term_occur=999&amp;term_src=Title:45:Chapter:A:Subchapter:B:Part:156:Subpart:B:156.100" TargetMode="External"/><Relationship Id="rId20" Type="http://schemas.openxmlformats.org/officeDocument/2006/relationships/hyperlink" Target="https://www.law.cornell.edu/uscode/text/5/8903"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cfr/text/45/159.11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law.cornell.edu/definitions/index.php?width=840&amp;height=800&amp;iframe=true&amp;def_id=2b74e43866fc5b8f1f15155c434c7c1d&amp;term_occur=999&amp;term_src=Title:45:Chapter:A:Subchapter:B:Part:156:Subpart:B:156.100" TargetMode="External"/><Relationship Id="rId23" Type="http://schemas.openxmlformats.org/officeDocument/2006/relationships/hyperlink" Target="https://www.law.cornell.edu/definitions/index.php?width=840&amp;height=800&amp;iframe=true&amp;def_id=1dabc8d1dcd88d8204dc7fa28a38a762&amp;term_occur=999&amp;term_src=Title:45:Chapter:A:Subchapter:B:Part:156:Subpart:B:156.100" TargetMode="External"/><Relationship Id="rId28" Type="http://schemas.openxmlformats.org/officeDocument/2006/relationships/header" Target="header3.xml"/><Relationship Id="rId10" Type="http://schemas.openxmlformats.org/officeDocument/2006/relationships/hyperlink" Target="https://www.law.cornell.edu/definitions/index.php?width=840&amp;height=800&amp;iframe=true&amp;def_id=480e7a6bb86aedc7a3b3df4af1f60326&amp;term_occur=999&amp;term_src=Title:45:Chapter:A:Subchapter:B:Part:156:Subpart:B:156.100" TargetMode="External"/><Relationship Id="rId19" Type="http://schemas.openxmlformats.org/officeDocument/2006/relationships/hyperlink" Target="https://www.law.cornell.edu/definitions/index.php?width=840&amp;height=800&amp;iframe=true&amp;def_id=2b74e43866fc5b8f1f15155c434c7c1d&amp;term_occur=999&amp;term_src=Title:45:Chapter:A:Subchapter:B:Part:156:Subpart:B:156.10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aw.cornell.edu/definitions/index.php?width=840&amp;height=800&amp;iframe=true&amp;def_id=2b74e43866fc5b8f1f15155c434c7c1d&amp;term_occur=999&amp;term_src=Title:45:Chapter:A:Subchapter:B:Part:156:Subpart:B:156.100" TargetMode="External"/><Relationship Id="rId14" Type="http://schemas.openxmlformats.org/officeDocument/2006/relationships/hyperlink" Target="https://www.law.cornell.edu/cfr/text/45/155.20" TargetMode="External"/><Relationship Id="rId22" Type="http://schemas.openxmlformats.org/officeDocument/2006/relationships/hyperlink" Target="https://www.law.cornell.edu/definitions/index.php?width=840&amp;height=800&amp;iframe=true&amp;def_id=c82cb6271c27a8a306415431c29383ec&amp;term_occur=999&amp;term_src=Title:45:Chapter:A:Subchapter:B:Part:156:Subpart:B:156.100"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jamanetwork.com/journals/jamanetworkopen/fullarticle/2768374" TargetMode="External"/><Relationship Id="rId13" Type="http://schemas.openxmlformats.org/officeDocument/2006/relationships/hyperlink" Target="https://www.nytimes.com/2020/07/22/style/lgbtq-fertility-surrogacy-coverage.html" TargetMode="External"/><Relationship Id="rId18" Type="http://schemas.openxmlformats.org/officeDocument/2006/relationships/hyperlink" Target="https://secure.ssa.gov/poms.nsf/lnx/0600610200" TargetMode="External"/><Relationship Id="rId3" Type="http://schemas.openxmlformats.org/officeDocument/2006/relationships/hyperlink" Target="https://www.govinfo.gov/content/pkg/CFR-2013-title45-vol1/pdf/CFR-2013-title45-vol1-sec156-100.pdf" TargetMode="External"/><Relationship Id="rId21" Type="http://schemas.openxmlformats.org/officeDocument/2006/relationships/hyperlink" Target="https://www.ahip.org/wp-content/uploads/2018/05/HealthyFoods_IssueBrief_4.18_FINAL.pdf" TargetMode="External"/><Relationship Id="rId7" Type="http://schemas.openxmlformats.org/officeDocument/2006/relationships/hyperlink" Target="https://www.nidcd.nih.gov/health/statistics/quick-statistics-hearing" TargetMode="External"/><Relationship Id="rId12" Type="http://schemas.openxmlformats.org/officeDocument/2006/relationships/hyperlink" Target="https://www.cdc.gov/art/state-specific-surveillance/2019/pdf/State-Specific-ART-Surveillance-U.S.-2019-Data-Brief-h.pdf" TargetMode="External"/><Relationship Id="rId17" Type="http://schemas.openxmlformats.org/officeDocument/2006/relationships/hyperlink" Target="https://www.healthvermont.gov/sites/default/files/documents/pdf/ADM_State_Health_Improvement_Plan_2019-2023.pdf" TargetMode="External"/><Relationship Id="rId25" Type="http://schemas.openxmlformats.org/officeDocument/2006/relationships/hyperlink" Target="https://www.law.cornell.edu/uscode/text/26/223" TargetMode="External"/><Relationship Id="rId2" Type="http://schemas.openxmlformats.org/officeDocument/2006/relationships/hyperlink" Target="https://www.federalregister.gov/documents/2018/04/17/2018-07355/patient-protection-and-affordable-care-act-hhs-notice-of-benefit-and-payment-parameters-for-2019" TargetMode="External"/><Relationship Id="rId16" Type="http://schemas.openxmlformats.org/officeDocument/2006/relationships/hyperlink" Target="https://www.healthvermont.gov/sites/default/files/burden_of_oral_disease.pdf" TargetMode="External"/><Relationship Id="rId20" Type="http://schemas.openxmlformats.org/officeDocument/2006/relationships/hyperlink" Target="https://www.healthvermont.gov/sites/default/files/documents/pdf/ADM_State_Health_Improvement_Plan_2019-2023.pdf" TargetMode="External"/><Relationship Id="rId1" Type="http://schemas.openxmlformats.org/officeDocument/2006/relationships/hyperlink" Target="https://legislature.vermont.gov/Documents/2022/Docs/ACTS/ACT074/ACT074%20As%20Enacted.pdf" TargetMode="External"/><Relationship Id="rId6" Type="http://schemas.openxmlformats.org/officeDocument/2006/relationships/hyperlink" Target="https://www.healthvermont.gov/sites/default/files/documents/pdf/VT%20State%20Health%20Assessment%202018%20Full%20Report.pdf" TargetMode="External"/><Relationship Id="rId11" Type="http://schemas.openxmlformats.org/officeDocument/2006/relationships/hyperlink" Target="https://www.cdc.gov/art/state-specific-surveillance/index.html" TargetMode="External"/><Relationship Id="rId24" Type="http://schemas.openxmlformats.org/officeDocument/2006/relationships/hyperlink" Target="https://www.ncbi.nlm.nih.gov/pmc/articles/PMC3820521/" TargetMode="External"/><Relationship Id="rId5" Type="http://schemas.openxmlformats.org/officeDocument/2006/relationships/hyperlink" Target="https://www.cdc.gov/ncbddd/hearingloss/index.html" TargetMode="External"/><Relationship Id="rId15" Type="http://schemas.openxmlformats.org/officeDocument/2006/relationships/hyperlink" Target="https://www.cdc.gov/visionhealth/basics/ced/fastfacts.htm" TargetMode="External"/><Relationship Id="rId23" Type="http://schemas.openxmlformats.org/officeDocument/2006/relationships/hyperlink" Target="https://legislature.vermont.gov/Documents/2016/Docs/ACTS/ACT054/ACT054%20As%20Enacted.pdf" TargetMode="External"/><Relationship Id="rId10" Type="http://schemas.openxmlformats.org/officeDocument/2006/relationships/hyperlink" Target="https://www.cdc.gov/mmwr/pdf/rr/rr6304.pdf" TargetMode="External"/><Relationship Id="rId19" Type="http://schemas.openxmlformats.org/officeDocument/2006/relationships/hyperlink" Target="https://chlpi.org/wp-content/uploads/2013/12/Food-is-Medicine_Peer-Reviewed-Research-in-the-U.S.1.pdf" TargetMode="External"/><Relationship Id="rId4" Type="http://schemas.openxmlformats.org/officeDocument/2006/relationships/hyperlink" Target="https://obamawhitehouse.archives.gov/sites/default/files/microsites/ostp/PCAST/PCAST%20hearing%20letter%20report.pdf" TargetMode="External"/><Relationship Id="rId9" Type="http://schemas.openxmlformats.org/officeDocument/2006/relationships/hyperlink" Target="https://www.kff.org/womens-health-policy/issue-brief/coverage-and-use-of-fertility-services-in-the-u-s" TargetMode="External"/><Relationship Id="rId14" Type="http://schemas.openxmlformats.org/officeDocument/2006/relationships/hyperlink" Target="https://www.ecfr.gov/current/title-45/subtitle-A/subchapter-B/part-156/subpart-B/section-156.115" TargetMode="External"/><Relationship Id="rId22" Type="http://schemas.openxmlformats.org/officeDocument/2006/relationships/hyperlink" Target="https://www.feedingamerica.org/sites/default/files/research/senior-hunger-research/senior-health-consequences-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D239A-9850-45F2-B05A-DA1ED64E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5865</Words>
  <Characters>32496</Characters>
  <Application>Microsoft Office Word</Application>
  <DocSecurity>4</DocSecurity>
  <Lines>580</Lines>
  <Paragraphs>220</Paragraphs>
  <ScaleCrop>false</ScaleCrop>
  <Company/>
  <LinksUpToDate>false</LinksUpToDate>
  <CharactersWithSpaces>38141</CharactersWithSpaces>
  <SharedDoc>false</SharedDoc>
  <HLinks>
    <vt:vector size="396" baseType="variant">
      <vt:variant>
        <vt:i4>3145734</vt:i4>
      </vt:variant>
      <vt:variant>
        <vt:i4>201</vt:i4>
      </vt:variant>
      <vt:variant>
        <vt:i4>0</vt:i4>
      </vt:variant>
      <vt:variant>
        <vt:i4>5</vt:i4>
      </vt:variant>
      <vt:variant>
        <vt:lpwstr>https://www.law.cornell.edu/definitions/index.php?width=840&amp;height=800&amp;iframe=true&amp;def_id=1dabc8d1dcd88d8204dc7fa28a38a762&amp;term_occur=999&amp;term_src=Title:45:Chapter:A:Subchapter:B:Part:156:Subpart:B:156.100</vt:lpwstr>
      </vt:variant>
      <vt:variant>
        <vt:lpwstr/>
      </vt:variant>
      <vt:variant>
        <vt:i4>3866632</vt:i4>
      </vt:variant>
      <vt:variant>
        <vt:i4>198</vt:i4>
      </vt:variant>
      <vt:variant>
        <vt:i4>0</vt:i4>
      </vt:variant>
      <vt:variant>
        <vt:i4>5</vt:i4>
      </vt:variant>
      <vt:variant>
        <vt:lpwstr>https://www.law.cornell.edu/definitions/index.php?width=840&amp;height=800&amp;iframe=true&amp;def_id=c82cb6271c27a8a306415431c29383ec&amp;term_occur=999&amp;term_src=Title:45:Chapter:A:Subchapter:B:Part:156:Subpart:B:156.100</vt:lpwstr>
      </vt:variant>
      <vt:variant>
        <vt:lpwstr/>
      </vt:variant>
      <vt:variant>
        <vt:i4>3407875</vt:i4>
      </vt:variant>
      <vt:variant>
        <vt:i4>195</vt:i4>
      </vt:variant>
      <vt:variant>
        <vt:i4>0</vt:i4>
      </vt:variant>
      <vt:variant>
        <vt:i4>5</vt:i4>
      </vt:variant>
      <vt:variant>
        <vt:lpwstr>https://www.law.cornell.edu/definitions/index.php?width=840&amp;height=800&amp;iframe=true&amp;def_id=2b74e43866fc5b8f1f15155c434c7c1d&amp;term_occur=999&amp;term_src=Title:45:Chapter:A:Subchapter:B:Part:156:Subpart:B:156.100</vt:lpwstr>
      </vt:variant>
      <vt:variant>
        <vt:lpwstr/>
      </vt:variant>
      <vt:variant>
        <vt:i4>7340066</vt:i4>
      </vt:variant>
      <vt:variant>
        <vt:i4>192</vt:i4>
      </vt:variant>
      <vt:variant>
        <vt:i4>0</vt:i4>
      </vt:variant>
      <vt:variant>
        <vt:i4>5</vt:i4>
      </vt:variant>
      <vt:variant>
        <vt:lpwstr>https://www.law.cornell.edu/uscode/text/5/8903</vt:lpwstr>
      </vt:variant>
      <vt:variant>
        <vt:lpwstr/>
      </vt:variant>
      <vt:variant>
        <vt:i4>3407875</vt:i4>
      </vt:variant>
      <vt:variant>
        <vt:i4>189</vt:i4>
      </vt:variant>
      <vt:variant>
        <vt:i4>0</vt:i4>
      </vt:variant>
      <vt:variant>
        <vt:i4>5</vt:i4>
      </vt:variant>
      <vt:variant>
        <vt:lpwstr>https://www.law.cornell.edu/definitions/index.php?width=840&amp;height=800&amp;iframe=true&amp;def_id=2b74e43866fc5b8f1f15155c434c7c1d&amp;term_occur=999&amp;term_src=Title:45:Chapter:A:Subchapter:B:Part:156:Subpart:B:156.100</vt:lpwstr>
      </vt:variant>
      <vt:variant>
        <vt:lpwstr/>
      </vt:variant>
      <vt:variant>
        <vt:i4>6553602</vt:i4>
      </vt:variant>
      <vt:variant>
        <vt:i4>186</vt:i4>
      </vt:variant>
      <vt:variant>
        <vt:i4>0</vt:i4>
      </vt:variant>
      <vt:variant>
        <vt:i4>5</vt:i4>
      </vt:variant>
      <vt:variant>
        <vt:lpwstr>https://www.law.cornell.edu/definitions/index.php?width=840&amp;height=800&amp;iframe=true&amp;def_id=d7feb22d10f4e484fc44f7ad02264069&amp;term_occur=999&amp;term_src=Title:45:Chapter:A:Subchapter:B:Part:156:Subpart:B:156.100</vt:lpwstr>
      </vt:variant>
      <vt:variant>
        <vt:lpwstr/>
      </vt:variant>
      <vt:variant>
        <vt:i4>4128851</vt:i4>
      </vt:variant>
      <vt:variant>
        <vt:i4>183</vt:i4>
      </vt:variant>
      <vt:variant>
        <vt:i4>0</vt:i4>
      </vt:variant>
      <vt:variant>
        <vt:i4>5</vt:i4>
      </vt:variant>
      <vt:variant>
        <vt:lpwstr>https://www.law.cornell.edu/definitions/index.php?width=840&amp;height=800&amp;iframe=true&amp;def_id=7877abaa9ca0f28a97952f38d3912949&amp;term_occur=999&amp;term_src=Title:45:Chapter:A:Subchapter:B:Part:156:Subpart:B:156.100</vt:lpwstr>
      </vt:variant>
      <vt:variant>
        <vt:lpwstr/>
      </vt:variant>
      <vt:variant>
        <vt:i4>3145734</vt:i4>
      </vt:variant>
      <vt:variant>
        <vt:i4>180</vt:i4>
      </vt:variant>
      <vt:variant>
        <vt:i4>0</vt:i4>
      </vt:variant>
      <vt:variant>
        <vt:i4>5</vt:i4>
      </vt:variant>
      <vt:variant>
        <vt:lpwstr>https://www.law.cornell.edu/definitions/index.php?width=840&amp;height=800&amp;iframe=true&amp;def_id=1dabc8d1dcd88d8204dc7fa28a38a762&amp;term_occur=999&amp;term_src=Title:45:Chapter:A:Subchapter:B:Part:156:Subpart:B:156.100</vt:lpwstr>
      </vt:variant>
      <vt:variant>
        <vt:lpwstr/>
      </vt:variant>
      <vt:variant>
        <vt:i4>3407875</vt:i4>
      </vt:variant>
      <vt:variant>
        <vt:i4>177</vt:i4>
      </vt:variant>
      <vt:variant>
        <vt:i4>0</vt:i4>
      </vt:variant>
      <vt:variant>
        <vt:i4>5</vt:i4>
      </vt:variant>
      <vt:variant>
        <vt:lpwstr>https://www.law.cornell.edu/definitions/index.php?width=840&amp;height=800&amp;iframe=true&amp;def_id=2b74e43866fc5b8f1f15155c434c7c1d&amp;term_occur=999&amp;term_src=Title:45:Chapter:A:Subchapter:B:Part:156:Subpart:B:156.100</vt:lpwstr>
      </vt:variant>
      <vt:variant>
        <vt:lpwstr/>
      </vt:variant>
      <vt:variant>
        <vt:i4>6750306</vt:i4>
      </vt:variant>
      <vt:variant>
        <vt:i4>174</vt:i4>
      </vt:variant>
      <vt:variant>
        <vt:i4>0</vt:i4>
      </vt:variant>
      <vt:variant>
        <vt:i4>5</vt:i4>
      </vt:variant>
      <vt:variant>
        <vt:lpwstr>https://www.law.cornell.edu/cfr/text/45/155.20</vt:lpwstr>
      </vt:variant>
      <vt:variant>
        <vt:lpwstr/>
      </vt:variant>
      <vt:variant>
        <vt:i4>4128771</vt:i4>
      </vt:variant>
      <vt:variant>
        <vt:i4>171</vt:i4>
      </vt:variant>
      <vt:variant>
        <vt:i4>0</vt:i4>
      </vt:variant>
      <vt:variant>
        <vt:i4>5</vt:i4>
      </vt:variant>
      <vt:variant>
        <vt:lpwstr>https://www.law.cornell.edu/definitions/index.php?width=840&amp;height=800&amp;iframe=true&amp;def_id=4f45a7bce5d1af4dc24f4ec36e6dcb82&amp;term_occur=999&amp;term_src=Title:45:Chapter:A:Subchapter:B:Part:156:Subpart:B:156.100</vt:lpwstr>
      </vt:variant>
      <vt:variant>
        <vt:lpwstr/>
      </vt:variant>
      <vt:variant>
        <vt:i4>3145734</vt:i4>
      </vt:variant>
      <vt:variant>
        <vt:i4>168</vt:i4>
      </vt:variant>
      <vt:variant>
        <vt:i4>0</vt:i4>
      </vt:variant>
      <vt:variant>
        <vt:i4>5</vt:i4>
      </vt:variant>
      <vt:variant>
        <vt:lpwstr>https://www.law.cornell.edu/definitions/index.php?width=840&amp;height=800&amp;iframe=true&amp;def_id=1dabc8d1dcd88d8204dc7fa28a38a762&amp;term_occur=999&amp;term_src=Title:45:Chapter:A:Subchapter:B:Part:156:Subpart:B:156.100</vt:lpwstr>
      </vt:variant>
      <vt:variant>
        <vt:lpwstr/>
      </vt:variant>
      <vt:variant>
        <vt:i4>6684781</vt:i4>
      </vt:variant>
      <vt:variant>
        <vt:i4>165</vt:i4>
      </vt:variant>
      <vt:variant>
        <vt:i4>0</vt:i4>
      </vt:variant>
      <vt:variant>
        <vt:i4>5</vt:i4>
      </vt:variant>
      <vt:variant>
        <vt:lpwstr>https://www.law.cornell.edu/cfr/text/45/159.110</vt:lpwstr>
      </vt:variant>
      <vt:variant>
        <vt:lpwstr/>
      </vt:variant>
      <vt:variant>
        <vt:i4>3932169</vt:i4>
      </vt:variant>
      <vt:variant>
        <vt:i4>162</vt:i4>
      </vt:variant>
      <vt:variant>
        <vt:i4>0</vt:i4>
      </vt:variant>
      <vt:variant>
        <vt:i4>5</vt:i4>
      </vt:variant>
      <vt:variant>
        <vt:lpwstr>https://www.law.cornell.edu/definitions/index.php?width=840&amp;height=800&amp;iframe=true&amp;def_id=480e7a6bb86aedc7a3b3df4af1f60326&amp;term_occur=999&amp;term_src=Title:45:Chapter:A:Subchapter:B:Part:156:Subpart:B:156.100</vt:lpwstr>
      </vt:variant>
      <vt:variant>
        <vt:lpwstr/>
      </vt:variant>
      <vt:variant>
        <vt:i4>3407875</vt:i4>
      </vt:variant>
      <vt:variant>
        <vt:i4>159</vt:i4>
      </vt:variant>
      <vt:variant>
        <vt:i4>0</vt:i4>
      </vt:variant>
      <vt:variant>
        <vt:i4>5</vt:i4>
      </vt:variant>
      <vt:variant>
        <vt:lpwstr>https://www.law.cornell.edu/definitions/index.php?width=840&amp;height=800&amp;iframe=true&amp;def_id=2b74e43866fc5b8f1f15155c434c7c1d&amp;term_occur=999&amp;term_src=Title:45:Chapter:A:Subchapter:B:Part:156:Subpart:B:156.100</vt:lpwstr>
      </vt:variant>
      <vt:variant>
        <vt:lpwstr/>
      </vt:variant>
      <vt:variant>
        <vt:i4>1900604</vt:i4>
      </vt:variant>
      <vt:variant>
        <vt:i4>152</vt:i4>
      </vt:variant>
      <vt:variant>
        <vt:i4>0</vt:i4>
      </vt:variant>
      <vt:variant>
        <vt:i4>5</vt:i4>
      </vt:variant>
      <vt:variant>
        <vt:lpwstr/>
      </vt:variant>
      <vt:variant>
        <vt:lpwstr>_Toc93557874</vt:lpwstr>
      </vt:variant>
      <vt:variant>
        <vt:i4>1703996</vt:i4>
      </vt:variant>
      <vt:variant>
        <vt:i4>146</vt:i4>
      </vt:variant>
      <vt:variant>
        <vt:i4>0</vt:i4>
      </vt:variant>
      <vt:variant>
        <vt:i4>5</vt:i4>
      </vt:variant>
      <vt:variant>
        <vt:lpwstr/>
      </vt:variant>
      <vt:variant>
        <vt:lpwstr>_Toc93557873</vt:lpwstr>
      </vt:variant>
      <vt:variant>
        <vt:i4>1769532</vt:i4>
      </vt:variant>
      <vt:variant>
        <vt:i4>140</vt:i4>
      </vt:variant>
      <vt:variant>
        <vt:i4>0</vt:i4>
      </vt:variant>
      <vt:variant>
        <vt:i4>5</vt:i4>
      </vt:variant>
      <vt:variant>
        <vt:lpwstr/>
      </vt:variant>
      <vt:variant>
        <vt:lpwstr>_Toc93557872</vt:lpwstr>
      </vt:variant>
      <vt:variant>
        <vt:i4>1572924</vt:i4>
      </vt:variant>
      <vt:variant>
        <vt:i4>134</vt:i4>
      </vt:variant>
      <vt:variant>
        <vt:i4>0</vt:i4>
      </vt:variant>
      <vt:variant>
        <vt:i4>5</vt:i4>
      </vt:variant>
      <vt:variant>
        <vt:lpwstr/>
      </vt:variant>
      <vt:variant>
        <vt:lpwstr>_Toc93557871</vt:lpwstr>
      </vt:variant>
      <vt:variant>
        <vt:i4>1638460</vt:i4>
      </vt:variant>
      <vt:variant>
        <vt:i4>128</vt:i4>
      </vt:variant>
      <vt:variant>
        <vt:i4>0</vt:i4>
      </vt:variant>
      <vt:variant>
        <vt:i4>5</vt:i4>
      </vt:variant>
      <vt:variant>
        <vt:lpwstr/>
      </vt:variant>
      <vt:variant>
        <vt:lpwstr>_Toc93557870</vt:lpwstr>
      </vt:variant>
      <vt:variant>
        <vt:i4>1048637</vt:i4>
      </vt:variant>
      <vt:variant>
        <vt:i4>122</vt:i4>
      </vt:variant>
      <vt:variant>
        <vt:i4>0</vt:i4>
      </vt:variant>
      <vt:variant>
        <vt:i4>5</vt:i4>
      </vt:variant>
      <vt:variant>
        <vt:lpwstr/>
      </vt:variant>
      <vt:variant>
        <vt:lpwstr>_Toc93557869</vt:lpwstr>
      </vt:variant>
      <vt:variant>
        <vt:i4>1114173</vt:i4>
      </vt:variant>
      <vt:variant>
        <vt:i4>116</vt:i4>
      </vt:variant>
      <vt:variant>
        <vt:i4>0</vt:i4>
      </vt:variant>
      <vt:variant>
        <vt:i4>5</vt:i4>
      </vt:variant>
      <vt:variant>
        <vt:lpwstr/>
      </vt:variant>
      <vt:variant>
        <vt:lpwstr>_Toc93557868</vt:lpwstr>
      </vt:variant>
      <vt:variant>
        <vt:i4>1966141</vt:i4>
      </vt:variant>
      <vt:variant>
        <vt:i4>110</vt:i4>
      </vt:variant>
      <vt:variant>
        <vt:i4>0</vt:i4>
      </vt:variant>
      <vt:variant>
        <vt:i4>5</vt:i4>
      </vt:variant>
      <vt:variant>
        <vt:lpwstr/>
      </vt:variant>
      <vt:variant>
        <vt:lpwstr>_Toc93557867</vt:lpwstr>
      </vt:variant>
      <vt:variant>
        <vt:i4>2031677</vt:i4>
      </vt:variant>
      <vt:variant>
        <vt:i4>104</vt:i4>
      </vt:variant>
      <vt:variant>
        <vt:i4>0</vt:i4>
      </vt:variant>
      <vt:variant>
        <vt:i4>5</vt:i4>
      </vt:variant>
      <vt:variant>
        <vt:lpwstr/>
      </vt:variant>
      <vt:variant>
        <vt:lpwstr>_Toc93557866</vt:lpwstr>
      </vt:variant>
      <vt:variant>
        <vt:i4>1835069</vt:i4>
      </vt:variant>
      <vt:variant>
        <vt:i4>98</vt:i4>
      </vt:variant>
      <vt:variant>
        <vt:i4>0</vt:i4>
      </vt:variant>
      <vt:variant>
        <vt:i4>5</vt:i4>
      </vt:variant>
      <vt:variant>
        <vt:lpwstr/>
      </vt:variant>
      <vt:variant>
        <vt:lpwstr>_Toc93557865</vt:lpwstr>
      </vt:variant>
      <vt:variant>
        <vt:i4>1900605</vt:i4>
      </vt:variant>
      <vt:variant>
        <vt:i4>92</vt:i4>
      </vt:variant>
      <vt:variant>
        <vt:i4>0</vt:i4>
      </vt:variant>
      <vt:variant>
        <vt:i4>5</vt:i4>
      </vt:variant>
      <vt:variant>
        <vt:lpwstr/>
      </vt:variant>
      <vt:variant>
        <vt:lpwstr>_Toc93557864</vt:lpwstr>
      </vt:variant>
      <vt:variant>
        <vt:i4>1703997</vt:i4>
      </vt:variant>
      <vt:variant>
        <vt:i4>86</vt:i4>
      </vt:variant>
      <vt:variant>
        <vt:i4>0</vt:i4>
      </vt:variant>
      <vt:variant>
        <vt:i4>5</vt:i4>
      </vt:variant>
      <vt:variant>
        <vt:lpwstr/>
      </vt:variant>
      <vt:variant>
        <vt:lpwstr>_Toc93557863</vt:lpwstr>
      </vt:variant>
      <vt:variant>
        <vt:i4>1769533</vt:i4>
      </vt:variant>
      <vt:variant>
        <vt:i4>80</vt:i4>
      </vt:variant>
      <vt:variant>
        <vt:i4>0</vt:i4>
      </vt:variant>
      <vt:variant>
        <vt:i4>5</vt:i4>
      </vt:variant>
      <vt:variant>
        <vt:lpwstr/>
      </vt:variant>
      <vt:variant>
        <vt:lpwstr>_Toc93557862</vt:lpwstr>
      </vt:variant>
      <vt:variant>
        <vt:i4>1572925</vt:i4>
      </vt:variant>
      <vt:variant>
        <vt:i4>74</vt:i4>
      </vt:variant>
      <vt:variant>
        <vt:i4>0</vt:i4>
      </vt:variant>
      <vt:variant>
        <vt:i4>5</vt:i4>
      </vt:variant>
      <vt:variant>
        <vt:lpwstr/>
      </vt:variant>
      <vt:variant>
        <vt:lpwstr>_Toc93557861</vt:lpwstr>
      </vt:variant>
      <vt:variant>
        <vt:i4>1638461</vt:i4>
      </vt:variant>
      <vt:variant>
        <vt:i4>68</vt:i4>
      </vt:variant>
      <vt:variant>
        <vt:i4>0</vt:i4>
      </vt:variant>
      <vt:variant>
        <vt:i4>5</vt:i4>
      </vt:variant>
      <vt:variant>
        <vt:lpwstr/>
      </vt:variant>
      <vt:variant>
        <vt:lpwstr>_Toc93557860</vt:lpwstr>
      </vt:variant>
      <vt:variant>
        <vt:i4>1048638</vt:i4>
      </vt:variant>
      <vt:variant>
        <vt:i4>62</vt:i4>
      </vt:variant>
      <vt:variant>
        <vt:i4>0</vt:i4>
      </vt:variant>
      <vt:variant>
        <vt:i4>5</vt:i4>
      </vt:variant>
      <vt:variant>
        <vt:lpwstr/>
      </vt:variant>
      <vt:variant>
        <vt:lpwstr>_Toc93557859</vt:lpwstr>
      </vt:variant>
      <vt:variant>
        <vt:i4>1114174</vt:i4>
      </vt:variant>
      <vt:variant>
        <vt:i4>56</vt:i4>
      </vt:variant>
      <vt:variant>
        <vt:i4>0</vt:i4>
      </vt:variant>
      <vt:variant>
        <vt:i4>5</vt:i4>
      </vt:variant>
      <vt:variant>
        <vt:lpwstr/>
      </vt:variant>
      <vt:variant>
        <vt:lpwstr>_Toc93557858</vt:lpwstr>
      </vt:variant>
      <vt:variant>
        <vt:i4>1966142</vt:i4>
      </vt:variant>
      <vt:variant>
        <vt:i4>50</vt:i4>
      </vt:variant>
      <vt:variant>
        <vt:i4>0</vt:i4>
      </vt:variant>
      <vt:variant>
        <vt:i4>5</vt:i4>
      </vt:variant>
      <vt:variant>
        <vt:lpwstr/>
      </vt:variant>
      <vt:variant>
        <vt:lpwstr>_Toc93557857</vt:lpwstr>
      </vt:variant>
      <vt:variant>
        <vt:i4>2031678</vt:i4>
      </vt:variant>
      <vt:variant>
        <vt:i4>44</vt:i4>
      </vt:variant>
      <vt:variant>
        <vt:i4>0</vt:i4>
      </vt:variant>
      <vt:variant>
        <vt:i4>5</vt:i4>
      </vt:variant>
      <vt:variant>
        <vt:lpwstr/>
      </vt:variant>
      <vt:variant>
        <vt:lpwstr>_Toc93557856</vt:lpwstr>
      </vt:variant>
      <vt:variant>
        <vt:i4>1835070</vt:i4>
      </vt:variant>
      <vt:variant>
        <vt:i4>38</vt:i4>
      </vt:variant>
      <vt:variant>
        <vt:i4>0</vt:i4>
      </vt:variant>
      <vt:variant>
        <vt:i4>5</vt:i4>
      </vt:variant>
      <vt:variant>
        <vt:lpwstr/>
      </vt:variant>
      <vt:variant>
        <vt:lpwstr>_Toc93557855</vt:lpwstr>
      </vt:variant>
      <vt:variant>
        <vt:i4>1900606</vt:i4>
      </vt:variant>
      <vt:variant>
        <vt:i4>32</vt:i4>
      </vt:variant>
      <vt:variant>
        <vt:i4>0</vt:i4>
      </vt:variant>
      <vt:variant>
        <vt:i4>5</vt:i4>
      </vt:variant>
      <vt:variant>
        <vt:lpwstr/>
      </vt:variant>
      <vt:variant>
        <vt:lpwstr>_Toc93557854</vt:lpwstr>
      </vt:variant>
      <vt:variant>
        <vt:i4>1703998</vt:i4>
      </vt:variant>
      <vt:variant>
        <vt:i4>26</vt:i4>
      </vt:variant>
      <vt:variant>
        <vt:i4>0</vt:i4>
      </vt:variant>
      <vt:variant>
        <vt:i4>5</vt:i4>
      </vt:variant>
      <vt:variant>
        <vt:lpwstr/>
      </vt:variant>
      <vt:variant>
        <vt:lpwstr>_Toc93557853</vt:lpwstr>
      </vt:variant>
      <vt:variant>
        <vt:i4>1769534</vt:i4>
      </vt:variant>
      <vt:variant>
        <vt:i4>20</vt:i4>
      </vt:variant>
      <vt:variant>
        <vt:i4>0</vt:i4>
      </vt:variant>
      <vt:variant>
        <vt:i4>5</vt:i4>
      </vt:variant>
      <vt:variant>
        <vt:lpwstr/>
      </vt:variant>
      <vt:variant>
        <vt:lpwstr>_Toc93557852</vt:lpwstr>
      </vt:variant>
      <vt:variant>
        <vt:i4>1572926</vt:i4>
      </vt:variant>
      <vt:variant>
        <vt:i4>14</vt:i4>
      </vt:variant>
      <vt:variant>
        <vt:i4>0</vt:i4>
      </vt:variant>
      <vt:variant>
        <vt:i4>5</vt:i4>
      </vt:variant>
      <vt:variant>
        <vt:lpwstr/>
      </vt:variant>
      <vt:variant>
        <vt:lpwstr>_Toc93557851</vt:lpwstr>
      </vt:variant>
      <vt:variant>
        <vt:i4>1638462</vt:i4>
      </vt:variant>
      <vt:variant>
        <vt:i4>8</vt:i4>
      </vt:variant>
      <vt:variant>
        <vt:i4>0</vt:i4>
      </vt:variant>
      <vt:variant>
        <vt:i4>5</vt:i4>
      </vt:variant>
      <vt:variant>
        <vt:lpwstr/>
      </vt:variant>
      <vt:variant>
        <vt:lpwstr>_Toc93557850</vt:lpwstr>
      </vt:variant>
      <vt:variant>
        <vt:i4>1048639</vt:i4>
      </vt:variant>
      <vt:variant>
        <vt:i4>2</vt:i4>
      </vt:variant>
      <vt:variant>
        <vt:i4>0</vt:i4>
      </vt:variant>
      <vt:variant>
        <vt:i4>5</vt:i4>
      </vt:variant>
      <vt:variant>
        <vt:lpwstr/>
      </vt:variant>
      <vt:variant>
        <vt:lpwstr>_Toc93557849</vt:lpwstr>
      </vt:variant>
      <vt:variant>
        <vt:i4>6422576</vt:i4>
      </vt:variant>
      <vt:variant>
        <vt:i4>72</vt:i4>
      </vt:variant>
      <vt:variant>
        <vt:i4>0</vt:i4>
      </vt:variant>
      <vt:variant>
        <vt:i4>5</vt:i4>
      </vt:variant>
      <vt:variant>
        <vt:lpwstr>https://www.law.cornell.edu/uscode/text/26/223</vt:lpwstr>
      </vt:variant>
      <vt:variant>
        <vt:lpwstr/>
      </vt:variant>
      <vt:variant>
        <vt:i4>1114184</vt:i4>
      </vt:variant>
      <vt:variant>
        <vt:i4>69</vt:i4>
      </vt:variant>
      <vt:variant>
        <vt:i4>0</vt:i4>
      </vt:variant>
      <vt:variant>
        <vt:i4>5</vt:i4>
      </vt:variant>
      <vt:variant>
        <vt:lpwstr>https://www.ncbi.nlm.nih.gov/pmc/articles/PMC3820521/</vt:lpwstr>
      </vt:variant>
      <vt:variant>
        <vt:lpwstr/>
      </vt:variant>
      <vt:variant>
        <vt:i4>4194378</vt:i4>
      </vt:variant>
      <vt:variant>
        <vt:i4>66</vt:i4>
      </vt:variant>
      <vt:variant>
        <vt:i4>0</vt:i4>
      </vt:variant>
      <vt:variant>
        <vt:i4>5</vt:i4>
      </vt:variant>
      <vt:variant>
        <vt:lpwstr>https://legislature.vermont.gov/Documents/2016/Docs/ACTS/ACT054/ACT054 As Enacted.pdf</vt:lpwstr>
      </vt:variant>
      <vt:variant>
        <vt:lpwstr/>
      </vt:variant>
      <vt:variant>
        <vt:i4>3932275</vt:i4>
      </vt:variant>
      <vt:variant>
        <vt:i4>63</vt:i4>
      </vt:variant>
      <vt:variant>
        <vt:i4>0</vt:i4>
      </vt:variant>
      <vt:variant>
        <vt:i4>5</vt:i4>
      </vt:variant>
      <vt:variant>
        <vt:lpwstr>https://www.feedingamerica.org/sites/default/files/research/senior-hunger-research/senior-health-consequences-2014.pdf</vt:lpwstr>
      </vt:variant>
      <vt:variant>
        <vt:lpwstr/>
      </vt:variant>
      <vt:variant>
        <vt:i4>5439590</vt:i4>
      </vt:variant>
      <vt:variant>
        <vt:i4>60</vt:i4>
      </vt:variant>
      <vt:variant>
        <vt:i4>0</vt:i4>
      </vt:variant>
      <vt:variant>
        <vt:i4>5</vt:i4>
      </vt:variant>
      <vt:variant>
        <vt:lpwstr>https://www.ahip.org/wp-content/uploads/2018/05/HealthyFoods_IssueBrief_4.18_FINAL.pdf</vt:lpwstr>
      </vt:variant>
      <vt:variant>
        <vt:lpwstr/>
      </vt:variant>
      <vt:variant>
        <vt:i4>196719</vt:i4>
      </vt:variant>
      <vt:variant>
        <vt:i4>57</vt:i4>
      </vt:variant>
      <vt:variant>
        <vt:i4>0</vt:i4>
      </vt:variant>
      <vt:variant>
        <vt:i4>5</vt:i4>
      </vt:variant>
      <vt:variant>
        <vt:lpwstr>https://www.healthvermont.gov/sites/default/files/documents/pdf/ADM_State_Health_Improvement_Plan_2019-2023.pdf</vt:lpwstr>
      </vt:variant>
      <vt:variant>
        <vt:lpwstr/>
      </vt:variant>
      <vt:variant>
        <vt:i4>6291481</vt:i4>
      </vt:variant>
      <vt:variant>
        <vt:i4>54</vt:i4>
      </vt:variant>
      <vt:variant>
        <vt:i4>0</vt:i4>
      </vt:variant>
      <vt:variant>
        <vt:i4>5</vt:i4>
      </vt:variant>
      <vt:variant>
        <vt:lpwstr>https://chlpi.org/wp-content/uploads/2013/12/Food-is-Medicine_Peer-Reviewed-Research-in-the-U.S.1.pdf</vt:lpwstr>
      </vt:variant>
      <vt:variant>
        <vt:lpwstr/>
      </vt:variant>
      <vt:variant>
        <vt:i4>8126503</vt:i4>
      </vt:variant>
      <vt:variant>
        <vt:i4>51</vt:i4>
      </vt:variant>
      <vt:variant>
        <vt:i4>0</vt:i4>
      </vt:variant>
      <vt:variant>
        <vt:i4>5</vt:i4>
      </vt:variant>
      <vt:variant>
        <vt:lpwstr>https://secure.ssa.gov/poms.nsf/lnx/0600610200</vt:lpwstr>
      </vt:variant>
      <vt:variant>
        <vt:lpwstr/>
      </vt:variant>
      <vt:variant>
        <vt:i4>196719</vt:i4>
      </vt:variant>
      <vt:variant>
        <vt:i4>48</vt:i4>
      </vt:variant>
      <vt:variant>
        <vt:i4>0</vt:i4>
      </vt:variant>
      <vt:variant>
        <vt:i4>5</vt:i4>
      </vt:variant>
      <vt:variant>
        <vt:lpwstr>https://www.healthvermont.gov/sites/default/files/documents/pdf/ADM_State_Health_Improvement_Plan_2019-2023.pdf</vt:lpwstr>
      </vt:variant>
      <vt:variant>
        <vt:lpwstr/>
      </vt:variant>
      <vt:variant>
        <vt:i4>3276821</vt:i4>
      </vt:variant>
      <vt:variant>
        <vt:i4>45</vt:i4>
      </vt:variant>
      <vt:variant>
        <vt:i4>0</vt:i4>
      </vt:variant>
      <vt:variant>
        <vt:i4>5</vt:i4>
      </vt:variant>
      <vt:variant>
        <vt:lpwstr>https://www.healthvermont.gov/sites/default/files/burden_of_oral_disease.pdf</vt:lpwstr>
      </vt:variant>
      <vt:variant>
        <vt:lpwstr/>
      </vt:variant>
      <vt:variant>
        <vt:i4>30</vt:i4>
      </vt:variant>
      <vt:variant>
        <vt:i4>42</vt:i4>
      </vt:variant>
      <vt:variant>
        <vt:i4>0</vt:i4>
      </vt:variant>
      <vt:variant>
        <vt:i4>5</vt:i4>
      </vt:variant>
      <vt:variant>
        <vt:lpwstr>https://www.cdc.gov/visionhealth/basics/ced/fastfacts.htm</vt:lpwstr>
      </vt:variant>
      <vt:variant>
        <vt:lpwstr/>
      </vt:variant>
      <vt:variant>
        <vt:i4>4784202</vt:i4>
      </vt:variant>
      <vt:variant>
        <vt:i4>39</vt:i4>
      </vt:variant>
      <vt:variant>
        <vt:i4>0</vt:i4>
      </vt:variant>
      <vt:variant>
        <vt:i4>5</vt:i4>
      </vt:variant>
      <vt:variant>
        <vt:lpwstr>https://www.ecfr.gov/current/title-45/subtitle-A/subchapter-B/part-156/subpart-B/section-156.115</vt:lpwstr>
      </vt:variant>
      <vt:variant>
        <vt:lpwstr/>
      </vt:variant>
      <vt:variant>
        <vt:i4>4390983</vt:i4>
      </vt:variant>
      <vt:variant>
        <vt:i4>36</vt:i4>
      </vt:variant>
      <vt:variant>
        <vt:i4>0</vt:i4>
      </vt:variant>
      <vt:variant>
        <vt:i4>5</vt:i4>
      </vt:variant>
      <vt:variant>
        <vt:lpwstr>https://www.nytimes.com/2020/07/22/style/lgbtq-fertility-surrogacy-coverage.html</vt:lpwstr>
      </vt:variant>
      <vt:variant>
        <vt:lpwstr/>
      </vt:variant>
      <vt:variant>
        <vt:i4>7274544</vt:i4>
      </vt:variant>
      <vt:variant>
        <vt:i4>33</vt:i4>
      </vt:variant>
      <vt:variant>
        <vt:i4>0</vt:i4>
      </vt:variant>
      <vt:variant>
        <vt:i4>5</vt:i4>
      </vt:variant>
      <vt:variant>
        <vt:lpwstr>https://www.cdc.gov/art/state-specific-surveillance/2019/pdf/State-Specific-ART-Surveillance-U.S.-2019-Data-Brief-h.pdf</vt:lpwstr>
      </vt:variant>
      <vt:variant>
        <vt:lpwstr/>
      </vt:variant>
      <vt:variant>
        <vt:i4>5832734</vt:i4>
      </vt:variant>
      <vt:variant>
        <vt:i4>30</vt:i4>
      </vt:variant>
      <vt:variant>
        <vt:i4>0</vt:i4>
      </vt:variant>
      <vt:variant>
        <vt:i4>5</vt:i4>
      </vt:variant>
      <vt:variant>
        <vt:lpwstr>https://www.cdc.gov/art/state-specific-surveillance/index.html</vt:lpwstr>
      </vt:variant>
      <vt:variant>
        <vt:lpwstr>key</vt:lpwstr>
      </vt:variant>
      <vt:variant>
        <vt:i4>7667811</vt:i4>
      </vt:variant>
      <vt:variant>
        <vt:i4>27</vt:i4>
      </vt:variant>
      <vt:variant>
        <vt:i4>0</vt:i4>
      </vt:variant>
      <vt:variant>
        <vt:i4>5</vt:i4>
      </vt:variant>
      <vt:variant>
        <vt:lpwstr>https://www.cdc.gov/mmwr/pdf/rr/rr6304.pdf</vt:lpwstr>
      </vt:variant>
      <vt:variant>
        <vt:lpwstr/>
      </vt:variant>
      <vt:variant>
        <vt:i4>8061036</vt:i4>
      </vt:variant>
      <vt:variant>
        <vt:i4>24</vt:i4>
      </vt:variant>
      <vt:variant>
        <vt:i4>0</vt:i4>
      </vt:variant>
      <vt:variant>
        <vt:i4>5</vt:i4>
      </vt:variant>
      <vt:variant>
        <vt:lpwstr>https://www.kff.org/womens-health-policy/issue-brief/coverage-and-use-of-fertility-services-in-the-u-s</vt:lpwstr>
      </vt:variant>
      <vt:variant>
        <vt:lpwstr/>
      </vt:variant>
      <vt:variant>
        <vt:i4>852057</vt:i4>
      </vt:variant>
      <vt:variant>
        <vt:i4>21</vt:i4>
      </vt:variant>
      <vt:variant>
        <vt:i4>0</vt:i4>
      </vt:variant>
      <vt:variant>
        <vt:i4>5</vt:i4>
      </vt:variant>
      <vt:variant>
        <vt:lpwstr>https://jamanetwork.com/journals/jamanetworkopen/fullarticle/2768374</vt:lpwstr>
      </vt:variant>
      <vt:variant>
        <vt:lpwstr/>
      </vt:variant>
      <vt:variant>
        <vt:i4>1835081</vt:i4>
      </vt:variant>
      <vt:variant>
        <vt:i4>18</vt:i4>
      </vt:variant>
      <vt:variant>
        <vt:i4>0</vt:i4>
      </vt:variant>
      <vt:variant>
        <vt:i4>5</vt:i4>
      </vt:variant>
      <vt:variant>
        <vt:lpwstr>https://www.nidcd.nih.gov/health/statistics/quick-statistics-hearing</vt:lpwstr>
      </vt:variant>
      <vt:variant>
        <vt:lpwstr/>
      </vt:variant>
      <vt:variant>
        <vt:i4>2293797</vt:i4>
      </vt:variant>
      <vt:variant>
        <vt:i4>15</vt:i4>
      </vt:variant>
      <vt:variant>
        <vt:i4>0</vt:i4>
      </vt:variant>
      <vt:variant>
        <vt:i4>5</vt:i4>
      </vt:variant>
      <vt:variant>
        <vt:lpwstr>https://www.healthvermont.gov/sites/default/files/documents/pdf/VT State Health Assessment 2018 Full Report.pdf</vt:lpwstr>
      </vt:variant>
      <vt:variant>
        <vt:lpwstr/>
      </vt:variant>
      <vt:variant>
        <vt:i4>4849678</vt:i4>
      </vt:variant>
      <vt:variant>
        <vt:i4>12</vt:i4>
      </vt:variant>
      <vt:variant>
        <vt:i4>0</vt:i4>
      </vt:variant>
      <vt:variant>
        <vt:i4>5</vt:i4>
      </vt:variant>
      <vt:variant>
        <vt:lpwstr>https://www.cdc.gov/ncbddd/hearingloss/index.html</vt:lpwstr>
      </vt:variant>
      <vt:variant>
        <vt:lpwstr/>
      </vt:variant>
      <vt:variant>
        <vt:i4>2359352</vt:i4>
      </vt:variant>
      <vt:variant>
        <vt:i4>9</vt:i4>
      </vt:variant>
      <vt:variant>
        <vt:i4>0</vt:i4>
      </vt:variant>
      <vt:variant>
        <vt:i4>5</vt:i4>
      </vt:variant>
      <vt:variant>
        <vt:lpwstr>https://obamawhitehouse.archives.gov/sites/default/files/microsites/ostp/PCAST/PCAST hearing letter report.pdf</vt:lpwstr>
      </vt:variant>
      <vt:variant>
        <vt:lpwstr/>
      </vt:variant>
      <vt:variant>
        <vt:i4>6553646</vt:i4>
      </vt:variant>
      <vt:variant>
        <vt:i4>6</vt:i4>
      </vt:variant>
      <vt:variant>
        <vt:i4>0</vt:i4>
      </vt:variant>
      <vt:variant>
        <vt:i4>5</vt:i4>
      </vt:variant>
      <vt:variant>
        <vt:lpwstr>https://www.govinfo.gov/content/pkg/CFR-2013-title45-vol1/pdf/CFR-2013-title45-vol1-sec156-100.pdf</vt:lpwstr>
      </vt:variant>
      <vt:variant>
        <vt:lpwstr/>
      </vt:variant>
      <vt:variant>
        <vt:i4>917570</vt:i4>
      </vt:variant>
      <vt:variant>
        <vt:i4>3</vt:i4>
      </vt:variant>
      <vt:variant>
        <vt:i4>0</vt:i4>
      </vt:variant>
      <vt:variant>
        <vt:i4>5</vt:i4>
      </vt:variant>
      <vt:variant>
        <vt:lpwstr>https://www.federalregister.gov/documents/2018/04/17/2018-07355/patient-protection-and-affordable-care-act-hhs-notice-of-benefit-and-payment-parameters-for-2019</vt:lpwstr>
      </vt:variant>
      <vt:variant>
        <vt:lpwstr/>
      </vt:variant>
      <vt:variant>
        <vt:i4>4587595</vt:i4>
      </vt:variant>
      <vt:variant>
        <vt:i4>0</vt:i4>
      </vt:variant>
      <vt:variant>
        <vt:i4>0</vt:i4>
      </vt:variant>
      <vt:variant>
        <vt:i4>5</vt:i4>
      </vt:variant>
      <vt:variant>
        <vt:lpwstr>https://legislature.vermont.gov/Documents/2022/Docs/ACTS/ACT074/ACT074 As Enacted.pdf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Emily</dc:creator>
  <cp:keywords/>
  <dc:description/>
  <cp:lastModifiedBy>Brackin, Stephanie</cp:lastModifiedBy>
  <cp:revision>2</cp:revision>
  <dcterms:created xsi:type="dcterms:W3CDTF">2022-04-15T15:54:00Z</dcterms:created>
  <dcterms:modified xsi:type="dcterms:W3CDTF">2022-04-15T15:54:00Z</dcterms:modified>
</cp:coreProperties>
</file>