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8776" w14:textId="23867341" w:rsidR="00BC3F2D" w:rsidRDefault="00BC3F2D">
      <w:pPr>
        <w:widowControl w:val="0"/>
        <w:pBdr>
          <w:top w:val="nil"/>
          <w:left w:val="nil"/>
          <w:bottom w:val="nil"/>
          <w:right w:val="nil"/>
          <w:between w:val="nil"/>
        </w:pBdr>
        <w:spacing w:before="0" w:after="0"/>
        <w:jc w:val="left"/>
        <w:rPr>
          <w:color w:val="000000"/>
        </w:rPr>
      </w:pPr>
    </w:p>
    <w:p w14:paraId="6B650D93" w14:textId="5708B15A" w:rsidR="00BC3F2D" w:rsidRDefault="00BC3F2D">
      <w:pPr>
        <w:tabs>
          <w:tab w:val="left" w:pos="1305"/>
        </w:tabs>
        <w:spacing w:before="0" w:after="200"/>
        <w:jc w:val="left"/>
      </w:pPr>
      <w:bookmarkStart w:id="0" w:name="_gjdgxs" w:colFirst="0" w:colLast="0"/>
      <w:bookmarkEnd w:id="0"/>
    </w:p>
    <w:p w14:paraId="467F3298" w14:textId="316A02EE" w:rsidR="00BC3F2D" w:rsidRDefault="003646D9">
      <w:pPr>
        <w:spacing w:before="0" w:after="0"/>
        <w:jc w:val="left"/>
      </w:pPr>
      <w:r>
        <w:rPr>
          <w:noProof/>
          <w:lang w:val="en-US"/>
        </w:rPr>
        <w:drawing>
          <wp:anchor distT="0" distB="0" distL="114300" distR="114300" simplePos="0" relativeHeight="251658240" behindDoc="1" locked="0" layoutInCell="1" allowOverlap="1" wp14:anchorId="5DB588E5" wp14:editId="3F3F57DD">
            <wp:simplePos x="0" y="0"/>
            <wp:positionH relativeFrom="column">
              <wp:posOffset>-922020</wp:posOffset>
            </wp:positionH>
            <wp:positionV relativeFrom="paragraph">
              <wp:posOffset>1387475</wp:posOffset>
            </wp:positionV>
            <wp:extent cx="7762875" cy="6527165"/>
            <wp:effectExtent l="0" t="0" r="9525" b="6985"/>
            <wp:wrapNone/>
            <wp:docPr id="3" name="image1.jpg" descr="W"/>
            <wp:cNvGraphicFramePr/>
            <a:graphic xmlns:a="http://schemas.openxmlformats.org/drawingml/2006/main">
              <a:graphicData uri="http://schemas.openxmlformats.org/drawingml/2006/picture">
                <pic:pic xmlns:pic="http://schemas.openxmlformats.org/drawingml/2006/picture">
                  <pic:nvPicPr>
                    <pic:cNvPr id="0" name="image1.jpg" descr="W"/>
                    <pic:cNvPicPr preferRelativeResize="0"/>
                  </pic:nvPicPr>
                  <pic:blipFill>
                    <a:blip r:embed="rId8">
                      <a:extLst>
                        <a:ext uri="{28A0092B-C50C-407E-A947-70E740481C1C}">
                          <a14:useLocalDpi xmlns:a14="http://schemas.microsoft.com/office/drawing/2010/main" val="0"/>
                        </a:ext>
                      </a:extLst>
                    </a:blip>
                    <a:srcRect t="10178" b="21685"/>
                    <a:stretch>
                      <a:fillRect/>
                    </a:stretch>
                  </pic:blipFill>
                  <pic:spPr>
                    <a:xfrm>
                      <a:off x="0" y="0"/>
                      <a:ext cx="7762875" cy="6527165"/>
                    </a:xfrm>
                    <a:prstGeom prst="rect">
                      <a:avLst/>
                    </a:prstGeom>
                    <a:ln/>
                  </pic:spPr>
                </pic:pic>
              </a:graphicData>
            </a:graphic>
          </wp:anchor>
        </w:drawing>
      </w:r>
    </w:p>
    <w:tbl>
      <w:tblPr>
        <w:tblpPr w:leftFromText="180" w:rightFromText="180" w:horzAnchor="margin" w:tblpY="1392"/>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23474" w14:paraId="748A643A" w14:textId="77777777" w:rsidTr="004B57DA">
        <w:tc>
          <w:tcPr>
            <w:tcW w:w="9350" w:type="dxa"/>
          </w:tcPr>
          <w:p w14:paraId="664EB533" w14:textId="1783E3ED" w:rsidR="00723474" w:rsidRDefault="00723474" w:rsidP="000029F8">
            <w:pPr>
              <w:pBdr>
                <w:top w:val="nil"/>
                <w:left w:val="nil"/>
                <w:bottom w:val="nil"/>
                <w:right w:val="nil"/>
                <w:between w:val="nil"/>
              </w:pBdr>
              <w:spacing w:before="0"/>
              <w:jc w:val="left"/>
              <w:rPr>
                <w:color w:val="1C286D"/>
                <w:sz w:val="44"/>
                <w:szCs w:val="44"/>
              </w:rPr>
            </w:pPr>
            <w:r>
              <w:rPr>
                <w:color w:val="263692"/>
                <w:sz w:val="44"/>
                <w:szCs w:val="44"/>
              </w:rPr>
              <w:t xml:space="preserve">State of </w:t>
            </w:r>
            <w:r w:rsidR="000029F8">
              <w:rPr>
                <w:color w:val="263692"/>
                <w:sz w:val="44"/>
                <w:szCs w:val="44"/>
              </w:rPr>
              <w:t>Vermont</w:t>
            </w:r>
            <w:r>
              <w:rPr>
                <w:color w:val="263692"/>
                <w:sz w:val="44"/>
                <w:szCs w:val="44"/>
              </w:rPr>
              <w:t>: D</w:t>
            </w:r>
            <w:r w:rsidR="000029F8">
              <w:rPr>
                <w:color w:val="263692"/>
                <w:sz w:val="44"/>
                <w:szCs w:val="44"/>
              </w:rPr>
              <w:t>epartment of Financial Regulation</w:t>
            </w:r>
          </w:p>
        </w:tc>
      </w:tr>
      <w:tr w:rsidR="00723474" w14:paraId="739E3608" w14:textId="77777777" w:rsidTr="004B57DA">
        <w:tc>
          <w:tcPr>
            <w:tcW w:w="9350" w:type="dxa"/>
          </w:tcPr>
          <w:p w14:paraId="7C340B30" w14:textId="77777777" w:rsidR="00723474" w:rsidRPr="00123461" w:rsidRDefault="00723474" w:rsidP="003646D9">
            <w:pPr>
              <w:spacing w:before="0"/>
              <w:jc w:val="left"/>
              <w:rPr>
                <w:color w:val="1C286D"/>
                <w:sz w:val="36"/>
                <w:szCs w:val="36"/>
              </w:rPr>
            </w:pPr>
          </w:p>
        </w:tc>
      </w:tr>
      <w:tr w:rsidR="00723474" w14:paraId="691E79B6" w14:textId="77777777" w:rsidTr="004B57DA">
        <w:trPr>
          <w:trHeight w:val="225"/>
        </w:trPr>
        <w:tc>
          <w:tcPr>
            <w:tcW w:w="9350" w:type="dxa"/>
          </w:tcPr>
          <w:p w14:paraId="178BCC04" w14:textId="3480351D" w:rsidR="00723474" w:rsidRDefault="00723474" w:rsidP="00696FFA">
            <w:pPr>
              <w:spacing w:before="0"/>
              <w:jc w:val="left"/>
              <w:rPr>
                <w:sz w:val="28"/>
                <w:szCs w:val="28"/>
              </w:rPr>
            </w:pPr>
            <w:r>
              <w:rPr>
                <w:color w:val="2B204F"/>
                <w:sz w:val="32"/>
                <w:szCs w:val="32"/>
              </w:rPr>
              <w:t>Benchmark Plan Benefit Valuation Report</w:t>
            </w:r>
          </w:p>
        </w:tc>
      </w:tr>
      <w:tr w:rsidR="00723474" w14:paraId="3F5B4D40" w14:textId="77777777" w:rsidTr="004B57DA">
        <w:trPr>
          <w:trHeight w:val="648"/>
        </w:trPr>
        <w:tc>
          <w:tcPr>
            <w:tcW w:w="9350" w:type="dxa"/>
          </w:tcPr>
          <w:p w14:paraId="5130272A" w14:textId="77777777" w:rsidR="00723474" w:rsidRDefault="00723474" w:rsidP="003646D9">
            <w:pPr>
              <w:spacing w:before="0"/>
              <w:jc w:val="left"/>
              <w:rPr>
                <w:sz w:val="32"/>
                <w:szCs w:val="32"/>
              </w:rPr>
            </w:pPr>
          </w:p>
        </w:tc>
      </w:tr>
      <w:tr w:rsidR="00723474" w14:paraId="5FDC2DA8" w14:textId="77777777" w:rsidTr="004B57DA">
        <w:tc>
          <w:tcPr>
            <w:tcW w:w="9350" w:type="dxa"/>
          </w:tcPr>
          <w:p w14:paraId="2CAF65AB" w14:textId="77777777" w:rsidR="00723474" w:rsidRDefault="00723474" w:rsidP="003646D9">
            <w:pPr>
              <w:spacing w:before="0"/>
              <w:jc w:val="left"/>
              <w:rPr>
                <w:b/>
                <w:sz w:val="32"/>
                <w:szCs w:val="32"/>
                <w:u w:val="single"/>
              </w:rPr>
            </w:pPr>
          </w:p>
        </w:tc>
      </w:tr>
      <w:tr w:rsidR="00723474" w14:paraId="17669821" w14:textId="77777777" w:rsidTr="004B57DA">
        <w:tc>
          <w:tcPr>
            <w:tcW w:w="9350" w:type="dxa"/>
            <w:shd w:val="clear" w:color="auto" w:fill="auto"/>
          </w:tcPr>
          <w:p w14:paraId="2351E262" w14:textId="408C4633" w:rsidR="00723474" w:rsidRDefault="0097100B" w:rsidP="003E626C">
            <w:pPr>
              <w:spacing w:before="0"/>
              <w:jc w:val="left"/>
              <w:rPr>
                <w:sz w:val="32"/>
                <w:szCs w:val="32"/>
              </w:rPr>
            </w:pPr>
            <w:r>
              <w:rPr>
                <w:sz w:val="32"/>
                <w:szCs w:val="32"/>
              </w:rPr>
              <w:t>April 15</w:t>
            </w:r>
            <w:r w:rsidR="000029F8">
              <w:rPr>
                <w:sz w:val="32"/>
                <w:szCs w:val="32"/>
              </w:rPr>
              <w:t>, 2022</w:t>
            </w:r>
          </w:p>
        </w:tc>
      </w:tr>
      <w:tr w:rsidR="00723474" w14:paraId="16DBD81C" w14:textId="77777777" w:rsidTr="004B57DA">
        <w:tc>
          <w:tcPr>
            <w:tcW w:w="9350" w:type="dxa"/>
            <w:shd w:val="clear" w:color="auto" w:fill="auto"/>
          </w:tcPr>
          <w:p w14:paraId="55E6EB40" w14:textId="77777777" w:rsidR="00723474" w:rsidRDefault="00723474" w:rsidP="003646D9">
            <w:pPr>
              <w:spacing w:before="0"/>
              <w:jc w:val="left"/>
              <w:rPr>
                <w:sz w:val="32"/>
                <w:szCs w:val="32"/>
              </w:rPr>
            </w:pPr>
          </w:p>
        </w:tc>
      </w:tr>
      <w:tr w:rsidR="0037309E" w14:paraId="5CA32C3B" w14:textId="77777777" w:rsidTr="004B57DA">
        <w:trPr>
          <w:trHeight w:val="429"/>
        </w:trPr>
        <w:tc>
          <w:tcPr>
            <w:tcW w:w="9350" w:type="dxa"/>
            <w:vAlign w:val="bottom"/>
          </w:tcPr>
          <w:p w14:paraId="0F2AF442" w14:textId="77777777" w:rsidR="0037309E" w:rsidRPr="00D17C00" w:rsidRDefault="0037309E" w:rsidP="00D17C00">
            <w:pPr>
              <w:spacing w:before="0"/>
              <w:jc w:val="left"/>
            </w:pPr>
            <w:r w:rsidRPr="00956AE1">
              <w:t>Prepared by:</w:t>
            </w:r>
          </w:p>
          <w:p w14:paraId="0AFE6631" w14:textId="7DE94EA1" w:rsidR="0037309E" w:rsidRPr="00D17C00" w:rsidRDefault="0037309E" w:rsidP="00D17C00">
            <w:pPr>
              <w:spacing w:before="0"/>
              <w:jc w:val="left"/>
            </w:pPr>
            <w:proofErr w:type="spellStart"/>
            <w:r w:rsidRPr="00956AE1">
              <w:rPr>
                <w:b/>
              </w:rPr>
              <w:t>Wakely</w:t>
            </w:r>
            <w:proofErr w:type="spellEnd"/>
            <w:r w:rsidRPr="00956AE1">
              <w:rPr>
                <w:b/>
              </w:rPr>
              <w:t xml:space="preserve"> Consulting Group, LLC</w:t>
            </w:r>
          </w:p>
        </w:tc>
      </w:tr>
      <w:tr w:rsidR="00723474" w14:paraId="62021AC2" w14:textId="77777777" w:rsidTr="004B57DA">
        <w:tc>
          <w:tcPr>
            <w:tcW w:w="9350" w:type="dxa"/>
          </w:tcPr>
          <w:p w14:paraId="7D0C756F" w14:textId="77777777" w:rsidR="00723474" w:rsidRPr="00956AE1" w:rsidRDefault="00723474" w:rsidP="003646D9">
            <w:pPr>
              <w:spacing w:before="0"/>
              <w:jc w:val="left"/>
              <w:rPr>
                <w:sz w:val="24"/>
                <w:szCs w:val="24"/>
              </w:rPr>
            </w:pPr>
          </w:p>
        </w:tc>
      </w:tr>
      <w:tr w:rsidR="0037309E" w14:paraId="0EB517AC" w14:textId="77777777" w:rsidTr="004B57DA">
        <w:trPr>
          <w:trHeight w:val="246"/>
        </w:trPr>
        <w:tc>
          <w:tcPr>
            <w:tcW w:w="9350" w:type="dxa"/>
          </w:tcPr>
          <w:p w14:paraId="5BD4D325" w14:textId="7515B2A3" w:rsidR="0037309E" w:rsidRPr="00D17C00" w:rsidRDefault="0037309E" w:rsidP="003646D9">
            <w:pPr>
              <w:spacing w:before="0"/>
              <w:jc w:val="left"/>
              <w:rPr>
                <w:b/>
              </w:rPr>
            </w:pPr>
            <w:r w:rsidRPr="00956AE1">
              <w:rPr>
                <w:b/>
              </w:rPr>
              <w:t>Matt Sauter, ASA, MAAA</w:t>
            </w:r>
          </w:p>
        </w:tc>
      </w:tr>
      <w:tr w:rsidR="0037309E" w14:paraId="41CF88F6" w14:textId="77777777" w:rsidTr="004B57DA">
        <w:trPr>
          <w:trHeight w:val="246"/>
        </w:trPr>
        <w:tc>
          <w:tcPr>
            <w:tcW w:w="9350" w:type="dxa"/>
          </w:tcPr>
          <w:p w14:paraId="0176B377" w14:textId="00BC9DF2" w:rsidR="0037309E" w:rsidRPr="00D17C00" w:rsidRDefault="000029F8" w:rsidP="003646D9">
            <w:pPr>
              <w:spacing w:before="0"/>
              <w:jc w:val="left"/>
              <w:rPr>
                <w:b/>
              </w:rPr>
            </w:pPr>
            <w:r>
              <w:t xml:space="preserve">Senior </w:t>
            </w:r>
            <w:r w:rsidR="0037309E" w:rsidRPr="00956AE1">
              <w:t>Consulting Actuary</w:t>
            </w:r>
          </w:p>
        </w:tc>
      </w:tr>
      <w:tr w:rsidR="0037309E" w14:paraId="4325F0CA" w14:textId="77777777" w:rsidTr="004B57DA">
        <w:tc>
          <w:tcPr>
            <w:tcW w:w="9350" w:type="dxa"/>
          </w:tcPr>
          <w:p w14:paraId="13FF45D0" w14:textId="77777777" w:rsidR="0037309E" w:rsidRPr="00D17C00" w:rsidRDefault="0037309E" w:rsidP="003646D9">
            <w:pPr>
              <w:spacing w:before="0"/>
              <w:jc w:val="left"/>
              <w:rPr>
                <w:b/>
              </w:rPr>
            </w:pPr>
          </w:p>
        </w:tc>
      </w:tr>
      <w:tr w:rsidR="00956AE1" w14:paraId="0DA4ED71" w14:textId="77777777" w:rsidTr="004B57DA">
        <w:trPr>
          <w:trHeight w:val="246"/>
        </w:trPr>
        <w:tc>
          <w:tcPr>
            <w:tcW w:w="9350" w:type="dxa"/>
          </w:tcPr>
          <w:p w14:paraId="56942D91" w14:textId="47C97D3B" w:rsidR="00956AE1" w:rsidRPr="00D17C00" w:rsidRDefault="00956AE1" w:rsidP="003646D9">
            <w:pPr>
              <w:spacing w:before="0"/>
              <w:jc w:val="left"/>
            </w:pPr>
            <w:r w:rsidRPr="00956AE1">
              <w:rPr>
                <w:b/>
              </w:rPr>
              <w:t xml:space="preserve">Julie </w:t>
            </w:r>
            <w:proofErr w:type="spellStart"/>
            <w:r w:rsidRPr="00956AE1">
              <w:rPr>
                <w:b/>
              </w:rPr>
              <w:t>Peper</w:t>
            </w:r>
            <w:proofErr w:type="spellEnd"/>
            <w:r w:rsidRPr="00956AE1">
              <w:rPr>
                <w:b/>
              </w:rPr>
              <w:t>, FSA, MAAA</w:t>
            </w:r>
          </w:p>
        </w:tc>
      </w:tr>
      <w:tr w:rsidR="00956AE1" w14:paraId="1049818C" w14:textId="77777777" w:rsidTr="004B57DA">
        <w:trPr>
          <w:trHeight w:val="246"/>
        </w:trPr>
        <w:tc>
          <w:tcPr>
            <w:tcW w:w="9350" w:type="dxa"/>
          </w:tcPr>
          <w:p w14:paraId="45740DFD" w14:textId="1DBD1EF0" w:rsidR="00956AE1" w:rsidRPr="00D17C00" w:rsidRDefault="00956AE1" w:rsidP="003646D9">
            <w:pPr>
              <w:spacing w:before="0"/>
              <w:jc w:val="left"/>
              <w:rPr>
                <w:b/>
              </w:rPr>
            </w:pPr>
            <w:r w:rsidRPr="00956AE1">
              <w:t>Principal and Senior Consulting Actuary</w:t>
            </w:r>
          </w:p>
        </w:tc>
      </w:tr>
      <w:tr w:rsidR="0037309E" w14:paraId="09911AC5" w14:textId="77777777" w:rsidTr="004B57DA">
        <w:tc>
          <w:tcPr>
            <w:tcW w:w="9350" w:type="dxa"/>
          </w:tcPr>
          <w:p w14:paraId="688D2353" w14:textId="77777777" w:rsidR="0037309E" w:rsidRPr="00D17C00" w:rsidRDefault="0037309E" w:rsidP="003646D9">
            <w:pPr>
              <w:spacing w:before="0"/>
              <w:jc w:val="left"/>
              <w:rPr>
                <w:b/>
              </w:rPr>
            </w:pPr>
          </w:p>
        </w:tc>
      </w:tr>
      <w:tr w:rsidR="00723474" w14:paraId="48CA854D" w14:textId="77777777" w:rsidTr="004B57DA">
        <w:tc>
          <w:tcPr>
            <w:tcW w:w="9350" w:type="dxa"/>
          </w:tcPr>
          <w:p w14:paraId="6B697C18" w14:textId="339754A3" w:rsidR="00723474" w:rsidRPr="00D17C00" w:rsidRDefault="00956AE1" w:rsidP="003646D9">
            <w:pPr>
              <w:spacing w:before="0"/>
              <w:jc w:val="left"/>
              <w:rPr>
                <w:b/>
              </w:rPr>
            </w:pPr>
            <w:r w:rsidRPr="00956AE1">
              <w:rPr>
                <w:b/>
              </w:rPr>
              <w:t>Michael Cohen, Ph.D.</w:t>
            </w:r>
          </w:p>
        </w:tc>
      </w:tr>
      <w:tr w:rsidR="00723474" w14:paraId="78B6982E" w14:textId="77777777" w:rsidTr="004B57DA">
        <w:tc>
          <w:tcPr>
            <w:tcW w:w="9350" w:type="dxa"/>
          </w:tcPr>
          <w:p w14:paraId="5CE32C8C" w14:textId="77777777" w:rsidR="00723474" w:rsidRDefault="000029F8" w:rsidP="00665FA6">
            <w:pPr>
              <w:spacing w:before="0"/>
              <w:jc w:val="left"/>
            </w:pPr>
            <w:r>
              <w:t xml:space="preserve">Director </w:t>
            </w:r>
            <w:r w:rsidR="00665FA6">
              <w:t>and Senior Consultant</w:t>
            </w:r>
          </w:p>
          <w:p w14:paraId="2E692EC9" w14:textId="77777777" w:rsidR="00CA48C9" w:rsidRDefault="00CA48C9" w:rsidP="00665FA6">
            <w:pPr>
              <w:spacing w:before="0"/>
              <w:jc w:val="left"/>
            </w:pPr>
          </w:p>
          <w:p w14:paraId="11A3FD4B" w14:textId="77777777" w:rsidR="00CA48C9" w:rsidRPr="00CA48C9" w:rsidRDefault="00CA48C9" w:rsidP="00665FA6">
            <w:pPr>
              <w:spacing w:before="0"/>
              <w:jc w:val="left"/>
              <w:rPr>
                <w:b/>
              </w:rPr>
            </w:pPr>
            <w:r w:rsidRPr="00CA48C9">
              <w:rPr>
                <w:b/>
              </w:rPr>
              <w:t xml:space="preserve">Alex </w:t>
            </w:r>
            <w:proofErr w:type="spellStart"/>
            <w:r w:rsidRPr="00CA48C9">
              <w:rPr>
                <w:b/>
              </w:rPr>
              <w:t>Jarocki</w:t>
            </w:r>
            <w:proofErr w:type="spellEnd"/>
          </w:p>
          <w:p w14:paraId="1C68BA0F" w14:textId="5A9196A6" w:rsidR="00CA48C9" w:rsidRPr="00D17C00" w:rsidRDefault="00CA48C9" w:rsidP="00665FA6">
            <w:pPr>
              <w:spacing w:before="0"/>
              <w:jc w:val="left"/>
            </w:pPr>
            <w:r>
              <w:t>Senior Analyst</w:t>
            </w:r>
          </w:p>
        </w:tc>
      </w:tr>
    </w:tbl>
    <w:p w14:paraId="66AD7472" w14:textId="77777777" w:rsidR="003646D9" w:rsidRDefault="003646D9">
      <w:pPr>
        <w:rPr>
          <w:color w:val="263692"/>
          <w:sz w:val="44"/>
          <w:szCs w:val="44"/>
        </w:rPr>
        <w:sectPr w:rsidR="003646D9" w:rsidSect="003646D9">
          <w:headerReference w:type="even" r:id="rId9"/>
          <w:headerReference w:type="default" r:id="rId10"/>
          <w:footerReference w:type="default" r:id="rId11"/>
          <w:headerReference w:type="first" r:id="rId12"/>
          <w:pgSz w:w="12240" w:h="15840"/>
          <w:pgMar w:top="2160" w:right="1440" w:bottom="1440" w:left="1440" w:header="720" w:footer="720" w:gutter="0"/>
          <w:pgNumType w:fmt="lowerRoman" w:start="1"/>
          <w:cols w:space="720"/>
          <w:titlePg/>
          <w:docGrid w:linePitch="299"/>
        </w:sectPr>
      </w:pPr>
    </w:p>
    <w:p w14:paraId="259E20A2" w14:textId="463AAF06" w:rsidR="00BC3F2D" w:rsidRPr="00E06409" w:rsidRDefault="001A2849" w:rsidP="00E06409">
      <w:pPr>
        <w:pStyle w:val="TOCHeading"/>
      </w:pPr>
      <w:bookmarkStart w:id="1" w:name="_30j0zll" w:colFirst="0" w:colLast="0"/>
      <w:bookmarkEnd w:id="1"/>
      <w:r w:rsidRPr="00E06409">
        <w:lastRenderedPageBreak/>
        <w:t>Table of Contents</w:t>
      </w:r>
    </w:p>
    <w:p w14:paraId="794ED599" w14:textId="37E37C8B" w:rsidR="00573C49" w:rsidRDefault="00E06409">
      <w:pPr>
        <w:pStyle w:val="TOC1"/>
        <w:rPr>
          <w:rFonts w:asciiTheme="minorHAnsi" w:eastAsiaTheme="minorEastAsia" w:hAnsiTheme="minorHAnsi" w:cstheme="minorBidi"/>
          <w:noProof/>
          <w:lang w:val="en-US"/>
        </w:rPr>
      </w:pPr>
      <w:r>
        <w:fldChar w:fldCharType="begin"/>
      </w:r>
      <w:r>
        <w:instrText xml:space="preserve"> TOC \o "1-2" \t "Appendix,1" </w:instrText>
      </w:r>
      <w:r>
        <w:fldChar w:fldCharType="separate"/>
      </w:r>
      <w:r w:rsidR="00573C49">
        <w:rPr>
          <w:noProof/>
        </w:rPr>
        <w:t>Introduction and Background</w:t>
      </w:r>
      <w:r w:rsidR="00573C49">
        <w:rPr>
          <w:noProof/>
        </w:rPr>
        <w:tab/>
      </w:r>
      <w:r w:rsidR="00573C49">
        <w:rPr>
          <w:noProof/>
        </w:rPr>
        <w:fldChar w:fldCharType="begin"/>
      </w:r>
      <w:r w:rsidR="00573C49">
        <w:rPr>
          <w:noProof/>
        </w:rPr>
        <w:instrText xml:space="preserve"> PAGEREF _Toc100737824 \h </w:instrText>
      </w:r>
      <w:r w:rsidR="00573C49">
        <w:rPr>
          <w:noProof/>
        </w:rPr>
      </w:r>
      <w:r w:rsidR="00573C49">
        <w:rPr>
          <w:noProof/>
        </w:rPr>
        <w:fldChar w:fldCharType="separate"/>
      </w:r>
      <w:r w:rsidR="00871F76">
        <w:rPr>
          <w:noProof/>
        </w:rPr>
        <w:t>1</w:t>
      </w:r>
      <w:r w:rsidR="00573C49">
        <w:rPr>
          <w:noProof/>
        </w:rPr>
        <w:fldChar w:fldCharType="end"/>
      </w:r>
    </w:p>
    <w:p w14:paraId="60654185" w14:textId="4C3E7ED7" w:rsidR="00573C49" w:rsidRDefault="00573C49">
      <w:pPr>
        <w:pStyle w:val="TOC1"/>
        <w:rPr>
          <w:rFonts w:asciiTheme="minorHAnsi" w:eastAsiaTheme="minorEastAsia" w:hAnsiTheme="minorHAnsi" w:cstheme="minorBidi"/>
          <w:noProof/>
          <w:lang w:val="en-US"/>
        </w:rPr>
      </w:pPr>
      <w:r>
        <w:rPr>
          <w:noProof/>
        </w:rPr>
        <w:t>Executive Summary</w:t>
      </w:r>
      <w:r>
        <w:rPr>
          <w:noProof/>
        </w:rPr>
        <w:tab/>
      </w:r>
      <w:r>
        <w:rPr>
          <w:noProof/>
        </w:rPr>
        <w:fldChar w:fldCharType="begin"/>
      </w:r>
      <w:r>
        <w:rPr>
          <w:noProof/>
        </w:rPr>
        <w:instrText xml:space="preserve"> PAGEREF _Toc100737825 \h </w:instrText>
      </w:r>
      <w:r>
        <w:rPr>
          <w:noProof/>
        </w:rPr>
      </w:r>
      <w:r>
        <w:rPr>
          <w:noProof/>
        </w:rPr>
        <w:fldChar w:fldCharType="separate"/>
      </w:r>
      <w:r w:rsidR="00871F76">
        <w:rPr>
          <w:noProof/>
        </w:rPr>
        <w:t>1</w:t>
      </w:r>
      <w:r>
        <w:rPr>
          <w:noProof/>
        </w:rPr>
        <w:fldChar w:fldCharType="end"/>
      </w:r>
    </w:p>
    <w:p w14:paraId="278F7DBC" w14:textId="2C6119C5" w:rsidR="00573C49" w:rsidRDefault="00573C49">
      <w:pPr>
        <w:pStyle w:val="TOC1"/>
        <w:rPr>
          <w:rFonts w:asciiTheme="minorHAnsi" w:eastAsiaTheme="minorEastAsia" w:hAnsiTheme="minorHAnsi" w:cstheme="minorBidi"/>
          <w:noProof/>
          <w:lang w:val="en-US"/>
        </w:rPr>
      </w:pPr>
      <w:r>
        <w:rPr>
          <w:noProof/>
        </w:rPr>
        <w:t>Proposed Benchmark</w:t>
      </w:r>
      <w:r>
        <w:rPr>
          <w:noProof/>
        </w:rPr>
        <w:tab/>
      </w:r>
      <w:r>
        <w:rPr>
          <w:noProof/>
        </w:rPr>
        <w:fldChar w:fldCharType="begin"/>
      </w:r>
      <w:r>
        <w:rPr>
          <w:noProof/>
        </w:rPr>
        <w:instrText xml:space="preserve"> PAGEREF _Toc100737826 \h </w:instrText>
      </w:r>
      <w:r>
        <w:rPr>
          <w:noProof/>
        </w:rPr>
      </w:r>
      <w:r>
        <w:rPr>
          <w:noProof/>
        </w:rPr>
        <w:fldChar w:fldCharType="separate"/>
      </w:r>
      <w:r w:rsidR="00871F76">
        <w:rPr>
          <w:noProof/>
        </w:rPr>
        <w:t>2</w:t>
      </w:r>
      <w:r>
        <w:rPr>
          <w:noProof/>
        </w:rPr>
        <w:fldChar w:fldCharType="end"/>
      </w:r>
    </w:p>
    <w:p w14:paraId="46D756C9" w14:textId="701644ED" w:rsidR="00573C49" w:rsidRDefault="00573C49">
      <w:pPr>
        <w:pStyle w:val="TOC2"/>
        <w:tabs>
          <w:tab w:val="right" w:leader="dot" w:pos="9350"/>
        </w:tabs>
        <w:rPr>
          <w:rFonts w:asciiTheme="minorHAnsi" w:eastAsiaTheme="minorEastAsia" w:hAnsiTheme="minorHAnsi" w:cstheme="minorBidi"/>
          <w:noProof/>
          <w:lang w:val="en-US"/>
        </w:rPr>
      </w:pPr>
      <w:r>
        <w:rPr>
          <w:noProof/>
        </w:rPr>
        <w:t>Recommendation: Hearing Aid Coverage</w:t>
      </w:r>
      <w:r>
        <w:rPr>
          <w:noProof/>
        </w:rPr>
        <w:tab/>
      </w:r>
      <w:r>
        <w:rPr>
          <w:noProof/>
        </w:rPr>
        <w:fldChar w:fldCharType="begin"/>
      </w:r>
      <w:r>
        <w:rPr>
          <w:noProof/>
        </w:rPr>
        <w:instrText xml:space="preserve"> PAGEREF _Toc100737827 \h </w:instrText>
      </w:r>
      <w:r>
        <w:rPr>
          <w:noProof/>
        </w:rPr>
      </w:r>
      <w:r>
        <w:rPr>
          <w:noProof/>
        </w:rPr>
        <w:fldChar w:fldCharType="separate"/>
      </w:r>
      <w:r w:rsidR="00871F76">
        <w:rPr>
          <w:noProof/>
        </w:rPr>
        <w:t>2</w:t>
      </w:r>
      <w:r>
        <w:rPr>
          <w:noProof/>
        </w:rPr>
        <w:fldChar w:fldCharType="end"/>
      </w:r>
    </w:p>
    <w:p w14:paraId="4E292D6B" w14:textId="5DDD09AF" w:rsidR="00573C49" w:rsidRDefault="00573C49">
      <w:pPr>
        <w:pStyle w:val="TOC2"/>
        <w:tabs>
          <w:tab w:val="right" w:leader="dot" w:pos="9350"/>
        </w:tabs>
        <w:rPr>
          <w:rFonts w:asciiTheme="minorHAnsi" w:eastAsiaTheme="minorEastAsia" w:hAnsiTheme="minorHAnsi" w:cstheme="minorBidi"/>
          <w:noProof/>
          <w:lang w:val="en-US"/>
        </w:rPr>
      </w:pPr>
      <w:r>
        <w:rPr>
          <w:noProof/>
        </w:rPr>
        <w:t>Methodology and Results</w:t>
      </w:r>
      <w:r>
        <w:rPr>
          <w:noProof/>
        </w:rPr>
        <w:tab/>
      </w:r>
      <w:r>
        <w:rPr>
          <w:noProof/>
        </w:rPr>
        <w:fldChar w:fldCharType="begin"/>
      </w:r>
      <w:r>
        <w:rPr>
          <w:noProof/>
        </w:rPr>
        <w:instrText xml:space="preserve"> PAGEREF _Toc100737828 \h </w:instrText>
      </w:r>
      <w:r>
        <w:rPr>
          <w:noProof/>
        </w:rPr>
      </w:r>
      <w:r>
        <w:rPr>
          <w:noProof/>
        </w:rPr>
        <w:fldChar w:fldCharType="separate"/>
      </w:r>
      <w:r w:rsidR="00871F76">
        <w:rPr>
          <w:noProof/>
        </w:rPr>
        <w:t>3</w:t>
      </w:r>
      <w:r>
        <w:rPr>
          <w:noProof/>
        </w:rPr>
        <w:fldChar w:fldCharType="end"/>
      </w:r>
    </w:p>
    <w:p w14:paraId="1CC037E4" w14:textId="62709CB7" w:rsidR="00573C49" w:rsidRDefault="00573C49">
      <w:pPr>
        <w:pStyle w:val="TOC2"/>
        <w:tabs>
          <w:tab w:val="right" w:leader="dot" w:pos="9350"/>
        </w:tabs>
        <w:rPr>
          <w:rFonts w:asciiTheme="minorHAnsi" w:eastAsiaTheme="minorEastAsia" w:hAnsiTheme="minorHAnsi" w:cstheme="minorBidi"/>
          <w:noProof/>
          <w:lang w:val="en-US"/>
        </w:rPr>
      </w:pPr>
      <w:r>
        <w:rPr>
          <w:noProof/>
        </w:rPr>
        <w:t>Additional Clarifications on Certain Benefits</w:t>
      </w:r>
      <w:r>
        <w:rPr>
          <w:noProof/>
        </w:rPr>
        <w:tab/>
      </w:r>
      <w:r>
        <w:rPr>
          <w:noProof/>
        </w:rPr>
        <w:fldChar w:fldCharType="begin"/>
      </w:r>
      <w:r>
        <w:rPr>
          <w:noProof/>
        </w:rPr>
        <w:instrText xml:space="preserve"> PAGEREF _Toc100737829 \h </w:instrText>
      </w:r>
      <w:r>
        <w:rPr>
          <w:noProof/>
        </w:rPr>
      </w:r>
      <w:r>
        <w:rPr>
          <w:noProof/>
        </w:rPr>
        <w:fldChar w:fldCharType="separate"/>
      </w:r>
      <w:r w:rsidR="00871F76">
        <w:rPr>
          <w:noProof/>
        </w:rPr>
        <w:t>3</w:t>
      </w:r>
      <w:r>
        <w:rPr>
          <w:noProof/>
        </w:rPr>
        <w:fldChar w:fldCharType="end"/>
      </w:r>
    </w:p>
    <w:p w14:paraId="152CED63" w14:textId="47F3C016" w:rsidR="00573C49" w:rsidRDefault="00573C49">
      <w:pPr>
        <w:pStyle w:val="TOC2"/>
        <w:tabs>
          <w:tab w:val="right" w:leader="dot" w:pos="9350"/>
        </w:tabs>
        <w:rPr>
          <w:rFonts w:asciiTheme="minorHAnsi" w:eastAsiaTheme="minorEastAsia" w:hAnsiTheme="minorHAnsi" w:cstheme="minorBidi"/>
          <w:noProof/>
          <w:lang w:val="en-US"/>
        </w:rPr>
      </w:pPr>
      <w:r>
        <w:rPr>
          <w:noProof/>
        </w:rPr>
        <w:t>Summary of Benefit Additions</w:t>
      </w:r>
      <w:r>
        <w:rPr>
          <w:noProof/>
        </w:rPr>
        <w:tab/>
      </w:r>
      <w:r>
        <w:rPr>
          <w:noProof/>
        </w:rPr>
        <w:fldChar w:fldCharType="begin"/>
      </w:r>
      <w:r>
        <w:rPr>
          <w:noProof/>
        </w:rPr>
        <w:instrText xml:space="preserve"> PAGEREF _Toc100737830 \h </w:instrText>
      </w:r>
      <w:r>
        <w:rPr>
          <w:noProof/>
        </w:rPr>
      </w:r>
      <w:r>
        <w:rPr>
          <w:noProof/>
        </w:rPr>
        <w:fldChar w:fldCharType="separate"/>
      </w:r>
      <w:r w:rsidR="00871F76">
        <w:rPr>
          <w:noProof/>
        </w:rPr>
        <w:t>4</w:t>
      </w:r>
      <w:r>
        <w:rPr>
          <w:noProof/>
        </w:rPr>
        <w:fldChar w:fldCharType="end"/>
      </w:r>
    </w:p>
    <w:p w14:paraId="779BB458" w14:textId="085691CE" w:rsidR="00573C49" w:rsidRDefault="00573C49">
      <w:pPr>
        <w:pStyle w:val="TOC1"/>
        <w:rPr>
          <w:rFonts w:asciiTheme="minorHAnsi" w:eastAsiaTheme="minorEastAsia" w:hAnsiTheme="minorHAnsi" w:cstheme="minorBidi"/>
          <w:noProof/>
          <w:lang w:val="en-US"/>
        </w:rPr>
      </w:pPr>
      <w:r>
        <w:rPr>
          <w:noProof/>
        </w:rPr>
        <w:t>Typicality Test</w:t>
      </w:r>
      <w:r>
        <w:rPr>
          <w:noProof/>
        </w:rPr>
        <w:tab/>
      </w:r>
      <w:r>
        <w:rPr>
          <w:noProof/>
        </w:rPr>
        <w:fldChar w:fldCharType="begin"/>
      </w:r>
      <w:r>
        <w:rPr>
          <w:noProof/>
        </w:rPr>
        <w:instrText xml:space="preserve"> PAGEREF _Toc100737831 \h </w:instrText>
      </w:r>
      <w:r>
        <w:rPr>
          <w:noProof/>
        </w:rPr>
      </w:r>
      <w:r>
        <w:rPr>
          <w:noProof/>
        </w:rPr>
        <w:fldChar w:fldCharType="separate"/>
      </w:r>
      <w:r w:rsidR="00871F76">
        <w:rPr>
          <w:noProof/>
        </w:rPr>
        <w:t>6</w:t>
      </w:r>
      <w:r>
        <w:rPr>
          <w:noProof/>
        </w:rPr>
        <w:fldChar w:fldCharType="end"/>
      </w:r>
    </w:p>
    <w:p w14:paraId="2B629BD1" w14:textId="1638EAC1" w:rsidR="00573C49" w:rsidRDefault="00573C49">
      <w:pPr>
        <w:pStyle w:val="TOC1"/>
        <w:rPr>
          <w:rFonts w:asciiTheme="minorHAnsi" w:eastAsiaTheme="minorEastAsia" w:hAnsiTheme="minorHAnsi" w:cstheme="minorBidi"/>
          <w:noProof/>
          <w:lang w:val="en-US"/>
        </w:rPr>
      </w:pPr>
      <w:r>
        <w:rPr>
          <w:noProof/>
        </w:rPr>
        <w:t>Generosity Test</w:t>
      </w:r>
      <w:r>
        <w:rPr>
          <w:noProof/>
        </w:rPr>
        <w:tab/>
      </w:r>
      <w:r>
        <w:rPr>
          <w:noProof/>
        </w:rPr>
        <w:fldChar w:fldCharType="begin"/>
      </w:r>
      <w:r>
        <w:rPr>
          <w:noProof/>
        </w:rPr>
        <w:instrText xml:space="preserve"> PAGEREF _Toc100737832 \h </w:instrText>
      </w:r>
      <w:r>
        <w:rPr>
          <w:noProof/>
        </w:rPr>
      </w:r>
      <w:r>
        <w:rPr>
          <w:noProof/>
        </w:rPr>
        <w:fldChar w:fldCharType="separate"/>
      </w:r>
      <w:r w:rsidR="00871F76">
        <w:rPr>
          <w:noProof/>
        </w:rPr>
        <w:t>7</w:t>
      </w:r>
      <w:r>
        <w:rPr>
          <w:noProof/>
        </w:rPr>
        <w:fldChar w:fldCharType="end"/>
      </w:r>
    </w:p>
    <w:p w14:paraId="0100608B" w14:textId="3561E31D" w:rsidR="00573C49" w:rsidRDefault="00573C49">
      <w:pPr>
        <w:pStyle w:val="TOC1"/>
        <w:rPr>
          <w:rFonts w:asciiTheme="minorHAnsi" w:eastAsiaTheme="minorEastAsia" w:hAnsiTheme="minorHAnsi" w:cstheme="minorBidi"/>
          <w:noProof/>
          <w:lang w:val="en-US"/>
        </w:rPr>
      </w:pPr>
      <w:r>
        <w:rPr>
          <w:noProof/>
        </w:rPr>
        <w:t>Conclusion</w:t>
      </w:r>
      <w:r>
        <w:rPr>
          <w:noProof/>
        </w:rPr>
        <w:tab/>
      </w:r>
      <w:r>
        <w:rPr>
          <w:noProof/>
        </w:rPr>
        <w:fldChar w:fldCharType="begin"/>
      </w:r>
      <w:r>
        <w:rPr>
          <w:noProof/>
        </w:rPr>
        <w:instrText xml:space="preserve"> PAGEREF _Toc100737833 \h </w:instrText>
      </w:r>
      <w:r>
        <w:rPr>
          <w:noProof/>
        </w:rPr>
      </w:r>
      <w:r>
        <w:rPr>
          <w:noProof/>
        </w:rPr>
        <w:fldChar w:fldCharType="separate"/>
      </w:r>
      <w:r w:rsidR="00871F76">
        <w:rPr>
          <w:noProof/>
        </w:rPr>
        <w:t>9</w:t>
      </w:r>
      <w:r>
        <w:rPr>
          <w:noProof/>
        </w:rPr>
        <w:fldChar w:fldCharType="end"/>
      </w:r>
    </w:p>
    <w:p w14:paraId="06847025" w14:textId="075B6F05" w:rsidR="00573C49" w:rsidRDefault="00573C49">
      <w:pPr>
        <w:pStyle w:val="TOC1"/>
        <w:rPr>
          <w:rFonts w:asciiTheme="minorHAnsi" w:eastAsiaTheme="minorEastAsia" w:hAnsiTheme="minorHAnsi" w:cstheme="minorBidi"/>
          <w:noProof/>
          <w:lang w:val="en-US"/>
        </w:rPr>
      </w:pPr>
      <w:r>
        <w:rPr>
          <w:noProof/>
        </w:rPr>
        <w:t>Appendix A: Data and Methodology</w:t>
      </w:r>
      <w:r>
        <w:rPr>
          <w:noProof/>
        </w:rPr>
        <w:tab/>
      </w:r>
      <w:r>
        <w:rPr>
          <w:noProof/>
        </w:rPr>
        <w:fldChar w:fldCharType="begin"/>
      </w:r>
      <w:r>
        <w:rPr>
          <w:noProof/>
        </w:rPr>
        <w:instrText xml:space="preserve"> PAGEREF _Toc100737834 \h </w:instrText>
      </w:r>
      <w:r>
        <w:rPr>
          <w:noProof/>
        </w:rPr>
      </w:r>
      <w:r>
        <w:rPr>
          <w:noProof/>
        </w:rPr>
        <w:fldChar w:fldCharType="separate"/>
      </w:r>
      <w:r w:rsidR="00871F76">
        <w:rPr>
          <w:noProof/>
        </w:rPr>
        <w:t>10</w:t>
      </w:r>
      <w:r>
        <w:rPr>
          <w:noProof/>
        </w:rPr>
        <w:fldChar w:fldCharType="end"/>
      </w:r>
    </w:p>
    <w:p w14:paraId="21CEDF09" w14:textId="05C188D2" w:rsidR="00573C49" w:rsidRDefault="00573C49">
      <w:pPr>
        <w:pStyle w:val="TOC1"/>
        <w:rPr>
          <w:rFonts w:asciiTheme="minorHAnsi" w:eastAsiaTheme="minorEastAsia" w:hAnsiTheme="minorHAnsi" w:cstheme="minorBidi"/>
          <w:noProof/>
          <w:lang w:val="en-US"/>
        </w:rPr>
      </w:pPr>
      <w:r>
        <w:rPr>
          <w:noProof/>
        </w:rPr>
        <w:t>Appendix B: Reliances and Caveats</w:t>
      </w:r>
      <w:r>
        <w:rPr>
          <w:noProof/>
        </w:rPr>
        <w:tab/>
      </w:r>
      <w:r>
        <w:rPr>
          <w:noProof/>
        </w:rPr>
        <w:fldChar w:fldCharType="begin"/>
      </w:r>
      <w:r>
        <w:rPr>
          <w:noProof/>
        </w:rPr>
        <w:instrText xml:space="preserve"> PAGEREF _Toc100737835 \h </w:instrText>
      </w:r>
      <w:r>
        <w:rPr>
          <w:noProof/>
        </w:rPr>
      </w:r>
      <w:r>
        <w:rPr>
          <w:noProof/>
        </w:rPr>
        <w:fldChar w:fldCharType="separate"/>
      </w:r>
      <w:r w:rsidR="00871F76">
        <w:rPr>
          <w:noProof/>
        </w:rPr>
        <w:t>12</w:t>
      </w:r>
      <w:r>
        <w:rPr>
          <w:noProof/>
        </w:rPr>
        <w:fldChar w:fldCharType="end"/>
      </w:r>
    </w:p>
    <w:p w14:paraId="184F25F6" w14:textId="6635E069" w:rsidR="00573C49" w:rsidRDefault="00573C49">
      <w:pPr>
        <w:pStyle w:val="TOC1"/>
        <w:rPr>
          <w:rFonts w:asciiTheme="minorHAnsi" w:eastAsiaTheme="minorEastAsia" w:hAnsiTheme="minorHAnsi" w:cstheme="minorBidi"/>
          <w:noProof/>
          <w:lang w:val="en-US"/>
        </w:rPr>
      </w:pPr>
      <w:r>
        <w:rPr>
          <w:noProof/>
        </w:rPr>
        <w:t>Appendix C: Disclosures and Limitations</w:t>
      </w:r>
      <w:r>
        <w:rPr>
          <w:noProof/>
        </w:rPr>
        <w:tab/>
      </w:r>
      <w:r>
        <w:rPr>
          <w:noProof/>
        </w:rPr>
        <w:fldChar w:fldCharType="begin"/>
      </w:r>
      <w:r>
        <w:rPr>
          <w:noProof/>
        </w:rPr>
        <w:instrText xml:space="preserve"> PAGEREF _Toc100737836 \h </w:instrText>
      </w:r>
      <w:r>
        <w:rPr>
          <w:noProof/>
        </w:rPr>
      </w:r>
      <w:r>
        <w:rPr>
          <w:noProof/>
        </w:rPr>
        <w:fldChar w:fldCharType="separate"/>
      </w:r>
      <w:r w:rsidR="00871F76">
        <w:rPr>
          <w:noProof/>
        </w:rPr>
        <w:t>14</w:t>
      </w:r>
      <w:r>
        <w:rPr>
          <w:noProof/>
        </w:rPr>
        <w:fldChar w:fldCharType="end"/>
      </w:r>
    </w:p>
    <w:p w14:paraId="2F6FFFB5" w14:textId="59D2910B" w:rsidR="00573C49" w:rsidRDefault="00573C49">
      <w:pPr>
        <w:pStyle w:val="TOC1"/>
        <w:rPr>
          <w:rFonts w:asciiTheme="minorHAnsi" w:eastAsiaTheme="minorEastAsia" w:hAnsiTheme="minorHAnsi" w:cstheme="minorBidi"/>
          <w:noProof/>
          <w:lang w:val="en-US"/>
        </w:rPr>
      </w:pPr>
      <w:r>
        <w:rPr>
          <w:noProof/>
        </w:rPr>
        <w:t>Appendix D: Benefit Detail</w:t>
      </w:r>
      <w:r>
        <w:rPr>
          <w:noProof/>
        </w:rPr>
        <w:tab/>
      </w:r>
      <w:r>
        <w:rPr>
          <w:noProof/>
        </w:rPr>
        <w:fldChar w:fldCharType="begin"/>
      </w:r>
      <w:r>
        <w:rPr>
          <w:noProof/>
        </w:rPr>
        <w:instrText xml:space="preserve"> PAGEREF _Toc100737837 \h </w:instrText>
      </w:r>
      <w:r>
        <w:rPr>
          <w:noProof/>
        </w:rPr>
      </w:r>
      <w:r>
        <w:rPr>
          <w:noProof/>
        </w:rPr>
        <w:fldChar w:fldCharType="separate"/>
      </w:r>
      <w:r w:rsidR="00871F76">
        <w:rPr>
          <w:noProof/>
        </w:rPr>
        <w:t>16</w:t>
      </w:r>
      <w:r>
        <w:rPr>
          <w:noProof/>
        </w:rPr>
        <w:fldChar w:fldCharType="end"/>
      </w:r>
    </w:p>
    <w:p w14:paraId="2C932A40" w14:textId="53BC4924" w:rsidR="003646D9" w:rsidRPr="003646D9" w:rsidRDefault="00E06409" w:rsidP="003646D9">
      <w:pPr>
        <w:sectPr w:rsidR="003646D9" w:rsidRPr="003646D9" w:rsidSect="003646D9">
          <w:pgSz w:w="12240" w:h="15840"/>
          <w:pgMar w:top="2160" w:right="1440" w:bottom="1440" w:left="1440" w:header="720" w:footer="720" w:gutter="0"/>
          <w:pgNumType w:fmt="lowerRoman" w:start="1"/>
          <w:cols w:space="720"/>
          <w:docGrid w:linePitch="299"/>
        </w:sectPr>
      </w:pPr>
      <w:r>
        <w:fldChar w:fldCharType="end"/>
      </w:r>
    </w:p>
    <w:p w14:paraId="4D844D76" w14:textId="1F765491" w:rsidR="00BC3F2D" w:rsidRDefault="001A2849" w:rsidP="00E06409">
      <w:pPr>
        <w:pStyle w:val="Heading1"/>
      </w:pPr>
      <w:bookmarkStart w:id="2" w:name="_Toc100737824"/>
      <w:r>
        <w:lastRenderedPageBreak/>
        <w:t>Introduction and Background</w:t>
      </w:r>
      <w:bookmarkEnd w:id="2"/>
    </w:p>
    <w:p w14:paraId="679C8F6A" w14:textId="445627B8" w:rsidR="00BC3F2D" w:rsidRDefault="001A2849" w:rsidP="00BB5F3E">
      <w:pPr>
        <w:spacing w:before="200" w:after="0"/>
      </w:pPr>
      <w:r>
        <w:t xml:space="preserve">The </w:t>
      </w:r>
      <w:r w:rsidR="000029F8">
        <w:t xml:space="preserve">Vermont Department of Financial Regulation (Vermont, DFR, or State) </w:t>
      </w:r>
      <w:r>
        <w:t xml:space="preserve">retained </w:t>
      </w:r>
      <w:proofErr w:type="spellStart"/>
      <w:r>
        <w:t>Wakely</w:t>
      </w:r>
      <w:proofErr w:type="spellEnd"/>
      <w:r>
        <w:t xml:space="preserve"> Consulting Group, LLC (</w:t>
      </w:r>
      <w:proofErr w:type="spellStart"/>
      <w:r>
        <w:t>Wakely</w:t>
      </w:r>
      <w:proofErr w:type="spellEnd"/>
      <w:r>
        <w:t>)</w:t>
      </w:r>
      <w:r w:rsidR="009627A2">
        <w:t>, an HMA Company,</w:t>
      </w:r>
      <w:r>
        <w:t xml:space="preserve"> to analyze the estimated cost impact of proposed changes to its state benchmark plan in the individual and small group Affordable Care Act (ACA) markets. </w:t>
      </w:r>
      <w:proofErr w:type="spellStart"/>
      <w:r>
        <w:t>Wakely</w:t>
      </w:r>
      <w:proofErr w:type="spellEnd"/>
      <w:r>
        <w:t xml:space="preserve"> was tasked to analyze the cost impact of a new benchmark and to determine if the new benchmark met the actuarial requirements as stated in 45 CFR </w:t>
      </w:r>
      <w:r>
        <w:rPr>
          <w:highlight w:val="white"/>
        </w:rPr>
        <w:t>156.111</w:t>
      </w:r>
      <w:r>
        <w:t>.</w:t>
      </w:r>
    </w:p>
    <w:p w14:paraId="7C36D6C1" w14:textId="77777777" w:rsidR="00BC3F2D" w:rsidRDefault="001A2849" w:rsidP="00BB5F3E">
      <w:pPr>
        <w:spacing w:before="200" w:after="0"/>
      </w:pPr>
      <w:r>
        <w:t>Starting in 2020, the federal government allowed the following additional options for defining a state Essential Health Benefit (EHB) benchmark plan, beyond what the states had previously been allowed:</w:t>
      </w:r>
    </w:p>
    <w:p w14:paraId="5ED9B6FA" w14:textId="77777777" w:rsidR="00BC3F2D" w:rsidRDefault="001A2849" w:rsidP="00E06409">
      <w:pPr>
        <w:numPr>
          <w:ilvl w:val="0"/>
          <w:numId w:val="1"/>
        </w:numPr>
        <w:pBdr>
          <w:top w:val="nil"/>
          <w:left w:val="nil"/>
          <w:bottom w:val="nil"/>
          <w:right w:val="nil"/>
          <w:between w:val="nil"/>
        </w:pBdr>
        <w:spacing w:before="200" w:after="0"/>
        <w:rPr>
          <w:color w:val="000000"/>
        </w:rPr>
      </w:pPr>
      <w:r>
        <w:rPr>
          <w:color w:val="000000"/>
        </w:rPr>
        <w:t>Selecting an EHB benchmark plan used by another state in 2017</w:t>
      </w:r>
    </w:p>
    <w:p w14:paraId="614D813D" w14:textId="77777777" w:rsidR="00BC3F2D" w:rsidRDefault="001A2849" w:rsidP="00E06409">
      <w:pPr>
        <w:numPr>
          <w:ilvl w:val="0"/>
          <w:numId w:val="1"/>
        </w:numPr>
        <w:pBdr>
          <w:top w:val="nil"/>
          <w:left w:val="nil"/>
          <w:bottom w:val="nil"/>
          <w:right w:val="nil"/>
          <w:between w:val="nil"/>
        </w:pBdr>
        <w:spacing w:before="200" w:after="0"/>
        <w:rPr>
          <w:color w:val="000000"/>
        </w:rPr>
      </w:pPr>
      <w:r>
        <w:rPr>
          <w:color w:val="000000"/>
        </w:rPr>
        <w:t>Replacing one or more EHB categories in the current benchmark plan with those categories as defined by another state in 2017</w:t>
      </w:r>
    </w:p>
    <w:p w14:paraId="17A0C974" w14:textId="4045AE43" w:rsidR="00BC3F2D" w:rsidRDefault="001A2849" w:rsidP="00E06409">
      <w:pPr>
        <w:numPr>
          <w:ilvl w:val="0"/>
          <w:numId w:val="1"/>
        </w:numPr>
        <w:pBdr>
          <w:top w:val="nil"/>
          <w:left w:val="nil"/>
          <w:bottom w:val="nil"/>
          <w:right w:val="nil"/>
          <w:between w:val="nil"/>
        </w:pBdr>
        <w:spacing w:before="200" w:after="0"/>
      </w:pPr>
      <w:r>
        <w:rPr>
          <w:color w:val="000000"/>
        </w:rPr>
        <w:t>Selecting a set of benefits to become the state benchmark plan</w:t>
      </w:r>
    </w:p>
    <w:p w14:paraId="0E5D1F44" w14:textId="03D753D3" w:rsidR="00BC3F2D" w:rsidRDefault="001A2849" w:rsidP="00BB5F3E">
      <w:pPr>
        <w:spacing w:before="200" w:after="0"/>
      </w:pPr>
      <w:r>
        <w:t xml:space="preserve">This is the actuarial report, which is part of the State of </w:t>
      </w:r>
      <w:r w:rsidR="000029F8">
        <w:t>Vermont’s</w:t>
      </w:r>
      <w:r>
        <w:t xml:space="preserve"> application for a change in the Federal CMS Plan Year 202</w:t>
      </w:r>
      <w:r w:rsidR="000029F8">
        <w:t>4</w:t>
      </w:r>
      <w:r>
        <w:t xml:space="preserve"> Essential Health Benefit Benchmark Plan under Selection Option 3. There are two actuarial requirements in order for a change in the benchmark to be accepted. The first is that the new EHB benchmark plan must be equal to</w:t>
      </w:r>
      <w:r>
        <w:rPr>
          <w:highlight w:val="white"/>
        </w:rPr>
        <w:t xml:space="preserve"> </w:t>
      </w:r>
      <w:r>
        <w:t>a typical employer plan. The second is that the new EHB benchmark plan does not exceed the generosity of the most generous among a set of comparison plans.</w:t>
      </w:r>
    </w:p>
    <w:p w14:paraId="0084BE27" w14:textId="7089B415" w:rsidR="00BC3F2D" w:rsidRDefault="001A2849" w:rsidP="00BB5F3E">
      <w:pPr>
        <w:spacing w:before="200" w:after="0"/>
        <w:rPr>
          <w:color w:val="263692"/>
          <w:sz w:val="32"/>
          <w:szCs w:val="32"/>
        </w:rPr>
      </w:pPr>
      <w:r>
        <w:t xml:space="preserve">This document has been prepared for the sole use of </w:t>
      </w:r>
      <w:r w:rsidR="000029F8">
        <w:t>Vermont</w:t>
      </w:r>
      <w:r>
        <w:t xml:space="preserve">. This report documents the results, data, assumptions, and methods used in our analyses and satisfies the Actuarial Standard of Practice (ASOP) 41 reporting requirements. Using the information in this report for other purposes may not be appropriate. </w:t>
      </w:r>
    </w:p>
    <w:p w14:paraId="7F7F9D41" w14:textId="77777777" w:rsidR="00BC3F2D" w:rsidRDefault="001A2849" w:rsidP="00E06409">
      <w:pPr>
        <w:pStyle w:val="Heading1"/>
      </w:pPr>
      <w:bookmarkStart w:id="3" w:name="_Toc100737825"/>
      <w:r>
        <w:t>Executive Summary</w:t>
      </w:r>
      <w:bookmarkEnd w:id="3"/>
    </w:p>
    <w:p w14:paraId="783E8212" w14:textId="4F19B51D" w:rsidR="00213FC8" w:rsidRDefault="009627A2" w:rsidP="00BB5F3E">
      <w:pPr>
        <w:spacing w:before="200" w:after="0"/>
      </w:pPr>
      <w:r>
        <w:t xml:space="preserve">The change to the EHB that Vermont is proposing is to add </w:t>
      </w:r>
      <w:r w:rsidR="000029F8">
        <w:t>a benefit</w:t>
      </w:r>
      <w:r w:rsidR="00213FC8">
        <w:t xml:space="preserve"> covering</w:t>
      </w:r>
      <w:r w:rsidR="008972BE">
        <w:t xml:space="preserve"> an annual hearing exam and a hearing aid for each ear every 3 years</w:t>
      </w:r>
      <w:r w:rsidR="00321C1C">
        <w:t xml:space="preserve"> </w:t>
      </w:r>
      <w:r w:rsidR="00213FC8">
        <w:t>for adults and children</w:t>
      </w:r>
      <w:r>
        <w:t xml:space="preserve">. </w:t>
      </w:r>
      <w:r w:rsidR="001A2849">
        <w:t xml:space="preserve">Pursuant to 45 CFR 156.111, </w:t>
      </w:r>
      <w:r w:rsidR="000029F8">
        <w:t>Vermont</w:t>
      </w:r>
      <w:r w:rsidR="001A2849">
        <w:t xml:space="preserve"> has elected to take public comment </w:t>
      </w:r>
      <w:r w:rsidR="00460F98">
        <w:t>on a</w:t>
      </w:r>
      <w:r w:rsidR="001A2849">
        <w:t xml:space="preserve"> draft set of benefits </w:t>
      </w:r>
      <w:r w:rsidR="00E55F0F">
        <w:t xml:space="preserve">that </w:t>
      </w:r>
      <w:r w:rsidR="001A2849">
        <w:t xml:space="preserve">comprise the </w:t>
      </w:r>
      <w:r w:rsidR="00E55F0F">
        <w:t xml:space="preserve">proposed </w:t>
      </w:r>
      <w:r w:rsidR="001A2849">
        <w:t xml:space="preserve">new EHB benchmark plan. Per </w:t>
      </w:r>
      <w:r w:rsidR="000029F8">
        <w:t>Vermont</w:t>
      </w:r>
      <w:r w:rsidR="001A2849">
        <w:t>’s request, we specifica</w:t>
      </w:r>
      <w:r w:rsidR="00213FC8">
        <w:t xml:space="preserve">lly priced the marginal cost of offering </w:t>
      </w:r>
      <w:r w:rsidR="00CF73A4">
        <w:t xml:space="preserve">a hearing </w:t>
      </w:r>
      <w:r w:rsidR="00321C1C">
        <w:t xml:space="preserve">aid </w:t>
      </w:r>
      <w:r w:rsidR="00CF73A4">
        <w:t xml:space="preserve">benefit </w:t>
      </w:r>
      <w:r w:rsidR="001A2849">
        <w:t xml:space="preserve">relative to the current (2017) </w:t>
      </w:r>
      <w:r w:rsidR="000029F8">
        <w:t>Vermont</w:t>
      </w:r>
      <w:r w:rsidR="00213FC8">
        <w:t xml:space="preserve"> Benchmark Plan</w:t>
      </w:r>
      <w:r w:rsidR="00CF73A4">
        <w:t>.</w:t>
      </w:r>
    </w:p>
    <w:p w14:paraId="35414085" w14:textId="49347ED6" w:rsidR="00BC3F2D" w:rsidRDefault="001A2849" w:rsidP="00BB5F3E">
      <w:pPr>
        <w:spacing w:before="200" w:after="0"/>
      </w:pPr>
      <w:r>
        <w:lastRenderedPageBreak/>
        <w:t xml:space="preserve">The </w:t>
      </w:r>
      <w:r w:rsidR="00B74267">
        <w:t>hearing benefit</w:t>
      </w:r>
      <w:r>
        <w:rPr>
          <w:vertAlign w:val="superscript"/>
        </w:rPr>
        <w:footnoteReference w:id="2"/>
      </w:r>
      <w:r>
        <w:t xml:space="preserve"> </w:t>
      </w:r>
      <w:r w:rsidR="00B74267">
        <w:t xml:space="preserve">was </w:t>
      </w:r>
      <w:r>
        <w:t xml:space="preserve">targeted based on discussions with the </w:t>
      </w:r>
      <w:r w:rsidR="00213FC8">
        <w:t xml:space="preserve">Department of Financial Regulation (DFR) </w:t>
      </w:r>
      <w:r>
        <w:t>and stakeholders including carriers, providers, and consumer advocates.</w:t>
      </w:r>
      <w:r w:rsidR="006F1136">
        <w:t xml:space="preserve"> </w:t>
      </w:r>
      <w:r>
        <w:t xml:space="preserve">We tested this new benchmark to ensure it met both the generosity test and the typical employer test as defined under 45 CFR 156.111, both of which are discussed in greater detail in a subsequent section of this report. </w:t>
      </w:r>
      <w:proofErr w:type="spellStart"/>
      <w:r>
        <w:t>Wakely</w:t>
      </w:r>
      <w:proofErr w:type="spellEnd"/>
      <w:r>
        <w:t xml:space="preserve"> found that if </w:t>
      </w:r>
      <w:r w:rsidR="00213FC8">
        <w:t xml:space="preserve">the hearing aid benefit </w:t>
      </w:r>
      <w:r w:rsidR="009627A2">
        <w:t xml:space="preserve">is </w:t>
      </w:r>
      <w:r>
        <w:t xml:space="preserve">included in the new benchmark the plan </w:t>
      </w:r>
      <w:r w:rsidR="009627A2">
        <w:t xml:space="preserve">it </w:t>
      </w:r>
      <w:r>
        <w:t xml:space="preserve">would meet both regulatory requirements. </w:t>
      </w:r>
    </w:p>
    <w:p w14:paraId="23550FF3" w14:textId="07F4A532" w:rsidR="00BC3F2D" w:rsidRDefault="001A2849" w:rsidP="00BB5F3E">
      <w:pPr>
        <w:spacing w:before="200" w:after="0"/>
      </w:pPr>
      <w:r>
        <w:t xml:space="preserve">The remainder of this document presents the pricing results and analysis of the benefit change, as well as the associated methodology underlying that analysis. </w:t>
      </w:r>
    </w:p>
    <w:p w14:paraId="1151AAC2" w14:textId="77777777" w:rsidR="00BC3F2D" w:rsidRPr="00E06409" w:rsidRDefault="001A2849" w:rsidP="00E06409">
      <w:pPr>
        <w:pStyle w:val="Heading1"/>
      </w:pPr>
      <w:bookmarkStart w:id="4" w:name="_Toc100737826"/>
      <w:r w:rsidRPr="00E06409">
        <w:t>Proposed Benchmark</w:t>
      </w:r>
      <w:bookmarkEnd w:id="4"/>
      <w:r w:rsidRPr="00E06409">
        <w:t xml:space="preserve"> </w:t>
      </w:r>
    </w:p>
    <w:p w14:paraId="0D4C153E" w14:textId="23858FFB" w:rsidR="00F5073E" w:rsidRDefault="001A2849" w:rsidP="00BB5F3E">
      <w:pPr>
        <w:spacing w:before="200" w:after="0"/>
      </w:pPr>
      <w:r w:rsidRPr="004F2135">
        <w:t xml:space="preserve">The current </w:t>
      </w:r>
      <w:r w:rsidR="000029F8" w:rsidRPr="004F2135">
        <w:t>Vermont</w:t>
      </w:r>
      <w:r w:rsidRPr="004F2135">
        <w:t xml:space="preserve"> benchmark plan is </w:t>
      </w:r>
      <w:r w:rsidR="00321C1C" w:rsidRPr="004F2135">
        <w:t>the</w:t>
      </w:r>
      <w:r w:rsidR="00740C36" w:rsidRPr="004F2135">
        <w:t xml:space="preserve"> BlueCross BlueS</w:t>
      </w:r>
      <w:r w:rsidR="004F2135" w:rsidRPr="004F2135">
        <w:t>hield of Vermont Standard CDHP p</w:t>
      </w:r>
      <w:r w:rsidR="00740C36" w:rsidRPr="004F2135">
        <w:t xml:space="preserve">lan </w:t>
      </w:r>
      <w:r w:rsidR="00831285" w:rsidRPr="004F2135">
        <w:t>supplem</w:t>
      </w:r>
      <w:r w:rsidR="004F2135" w:rsidRPr="004F2135">
        <w:t>ented</w:t>
      </w:r>
      <w:r w:rsidR="004F2135">
        <w:t xml:space="preserve"> with the State CHIP’s pedi</w:t>
      </w:r>
      <w:r w:rsidR="00831285">
        <w:t xml:space="preserve">atric </w:t>
      </w:r>
      <w:r w:rsidR="00AB3231">
        <w:t>dental</w:t>
      </w:r>
      <w:r w:rsidR="00831285">
        <w:t xml:space="preserve"> and the Federal VIP’s pediatric vision </w:t>
      </w:r>
      <w:r w:rsidR="00740C36">
        <w:t>(</w:t>
      </w:r>
      <w:r w:rsidR="00831285">
        <w:t xml:space="preserve">herein collectively referred to as </w:t>
      </w:r>
      <w:r w:rsidR="00740C36">
        <w:t>CDHP)</w:t>
      </w:r>
      <w:r>
        <w:t>. This plan</w:t>
      </w:r>
      <w:r w:rsidR="00F41A4C">
        <w:t xml:space="preserve"> was the initial benchmark plan </w:t>
      </w:r>
      <w:r w:rsidR="00A36122">
        <w:t>for</w:t>
      </w:r>
      <w:r w:rsidR="00F41A4C">
        <w:t xml:space="preserve"> plan year </w:t>
      </w:r>
      <w:proofErr w:type="gramStart"/>
      <w:r w:rsidR="00F41A4C">
        <w:t>2014, and</w:t>
      </w:r>
      <w:proofErr w:type="gramEnd"/>
      <w:r w:rsidR="00F41A4C">
        <w:t xml:space="preserve"> was set again in 2017</w:t>
      </w:r>
      <w:r>
        <w:t xml:space="preserve"> in accordance with the EHB rules, and approved by CMS. Under the current regulations, using Option 3, the State is allowed to develop a new benchmark plan by selecting a set of benefits rather than an existing plan offered in the market. </w:t>
      </w:r>
    </w:p>
    <w:p w14:paraId="051080EA" w14:textId="55F14FF2" w:rsidR="00BC3F2D" w:rsidRDefault="001A2849" w:rsidP="00BB5F3E">
      <w:pPr>
        <w:spacing w:before="200" w:after="0"/>
      </w:pPr>
      <w:r>
        <w:t xml:space="preserve">As part of its review process, </w:t>
      </w:r>
      <w:proofErr w:type="spellStart"/>
      <w:r>
        <w:t>Wakely</w:t>
      </w:r>
      <w:proofErr w:type="spellEnd"/>
      <w:r>
        <w:t xml:space="preserve"> discussed potential changes with </w:t>
      </w:r>
      <w:r w:rsidR="00CF73A4">
        <w:t>DFR</w:t>
      </w:r>
      <w:r>
        <w:t xml:space="preserve"> and a </w:t>
      </w:r>
      <w:r w:rsidR="000029F8">
        <w:t>Vermont</w:t>
      </w:r>
      <w:r>
        <w:t xml:space="preserve"> EHB stakeholder group, which included </w:t>
      </w:r>
      <w:r w:rsidR="000029F8">
        <w:t>Vermont</w:t>
      </w:r>
      <w:r>
        <w:t>’s individual and small group issuers as well as providers and consum</w:t>
      </w:r>
      <w:r w:rsidRPr="00D40400">
        <w:t>er</w:t>
      </w:r>
      <w:r>
        <w:t xml:space="preserve"> advocacy organizations. </w:t>
      </w:r>
      <w:proofErr w:type="spellStart"/>
      <w:r>
        <w:t>Wakely</w:t>
      </w:r>
      <w:proofErr w:type="spellEnd"/>
      <w:r>
        <w:t xml:space="preserve"> also conducted analysis on the potential actuarial impact of the</w:t>
      </w:r>
      <w:r w:rsidR="00F5073E">
        <w:t xml:space="preserve"> various</w:t>
      </w:r>
      <w:r>
        <w:t xml:space="preserve"> proposed </w:t>
      </w:r>
      <w:r w:rsidR="00F5073E">
        <w:t xml:space="preserve">benefit </w:t>
      </w:r>
      <w:r>
        <w:t xml:space="preserve">changes. Several of the benefits considered for change were not ultimately recommended as a change. Listed below </w:t>
      </w:r>
      <w:r w:rsidR="00F5073E">
        <w:t xml:space="preserve">is </w:t>
      </w:r>
      <w:r>
        <w:t>the recommended change and the potential impact.</w:t>
      </w:r>
    </w:p>
    <w:p w14:paraId="652E3978" w14:textId="54B5D698" w:rsidR="00BC3F2D" w:rsidRDefault="001A2849" w:rsidP="00BB5F3E">
      <w:pPr>
        <w:spacing w:before="200" w:after="0"/>
      </w:pPr>
      <w:r>
        <w:t xml:space="preserve">Note that no proposed changes to the </w:t>
      </w:r>
      <w:r w:rsidR="000029F8">
        <w:t>Vermont</w:t>
      </w:r>
      <w:r>
        <w:t xml:space="preserve"> EHB benchmark plan relate to pediatric dental or vision benefits. </w:t>
      </w:r>
      <w:r w:rsidR="000029F8">
        <w:t>Vermont</w:t>
      </w:r>
      <w:r>
        <w:t xml:space="preserve"> does not intend to change any of the supplemented benefits.</w:t>
      </w:r>
    </w:p>
    <w:p w14:paraId="395F8DBB" w14:textId="26AAE4D8" w:rsidR="00BC3F2D" w:rsidRPr="00E06409" w:rsidRDefault="001A2849" w:rsidP="00E06409">
      <w:pPr>
        <w:pStyle w:val="Heading2"/>
      </w:pPr>
      <w:bookmarkStart w:id="5" w:name="_Toc100737827"/>
      <w:r w:rsidRPr="00E06409">
        <w:t xml:space="preserve">Recommendation: </w:t>
      </w:r>
      <w:r w:rsidR="00CF73A4" w:rsidRPr="00E06409">
        <w:t xml:space="preserve">Hearing </w:t>
      </w:r>
      <w:r w:rsidR="00740C36" w:rsidRPr="00E06409">
        <w:t xml:space="preserve">Aid </w:t>
      </w:r>
      <w:r w:rsidR="00CF73A4" w:rsidRPr="00E06409">
        <w:t>Coverage</w:t>
      </w:r>
      <w:bookmarkEnd w:id="5"/>
    </w:p>
    <w:p w14:paraId="21CD104F" w14:textId="01080FA2" w:rsidR="00BC3F2D" w:rsidRPr="00E06409" w:rsidRDefault="00BB5F3E" w:rsidP="00E06409">
      <w:pPr>
        <w:pStyle w:val="Heading3"/>
      </w:pPr>
      <w:r w:rsidRPr="00E06409">
        <w:t>DESCRIPTION</w:t>
      </w:r>
    </w:p>
    <w:p w14:paraId="52F76437" w14:textId="5B8D486B" w:rsidR="00BC3F2D" w:rsidRDefault="001A2849" w:rsidP="00BB5F3E">
      <w:pPr>
        <w:spacing w:before="200" w:after="0"/>
      </w:pPr>
      <w:r>
        <w:t xml:space="preserve">The State is considering adding </w:t>
      </w:r>
      <w:r w:rsidR="00533327">
        <w:t xml:space="preserve">a hearing aid benefit that includes </w:t>
      </w:r>
      <w:r w:rsidR="00CF73A4">
        <w:t>an annual hearing exam and one hearing aid per year each 3 years</w:t>
      </w:r>
      <w:r>
        <w:t xml:space="preserve"> to the proposed benchmark plan.</w:t>
      </w:r>
      <w:r w:rsidR="001E04D4">
        <w:t xml:space="preserve"> </w:t>
      </w:r>
      <w:r w:rsidR="009072B1">
        <w:t xml:space="preserve">Adding the recommended hearing benefit will </w:t>
      </w:r>
      <w:r w:rsidR="006200ED">
        <w:t xml:space="preserve">improve the </w:t>
      </w:r>
      <w:r w:rsidR="004E4285">
        <w:t>alignment of the benchmark plan with the State’s health care policy goals</w:t>
      </w:r>
      <w:r w:rsidR="00D63D0D">
        <w:t xml:space="preserve"> to</w:t>
      </w:r>
      <w:r w:rsidR="004E4285">
        <w:t xml:space="preserve"> </w:t>
      </w:r>
      <w:r w:rsidR="006C5DD1">
        <w:t>creat</w:t>
      </w:r>
      <w:r w:rsidR="00D63D0D">
        <w:t>e</w:t>
      </w:r>
      <w:r w:rsidR="006C5DD1">
        <w:t xml:space="preserve"> </w:t>
      </w:r>
      <w:r w:rsidR="006F1136">
        <w:t>equity</w:t>
      </w:r>
      <w:r w:rsidR="006C5DD1">
        <w:t xml:space="preserve"> among insured populations </w:t>
      </w:r>
      <w:r w:rsidR="00041D10">
        <w:t xml:space="preserve">by </w:t>
      </w:r>
      <w:r w:rsidR="002E78AD">
        <w:t xml:space="preserve">implementing benefit designs </w:t>
      </w:r>
      <w:r w:rsidR="00BE365F">
        <w:t>serving Vermont’s whole population, regardless of disability or age.</w:t>
      </w:r>
      <w:r>
        <w:t xml:space="preserve"> </w:t>
      </w:r>
      <w:r w:rsidR="007002BF">
        <w:t xml:space="preserve">A review of essential health benefits in the Northeast region revealed Vermont and Pennsylvania were the only two Northeast states </w:t>
      </w:r>
      <w:r w:rsidR="007002BF">
        <w:lastRenderedPageBreak/>
        <w:t>with no hearing a</w:t>
      </w:r>
      <w:r w:rsidR="002A13D2">
        <w:t xml:space="preserve">id coverage in their benchmark plans. Adding the recommended hearing benefit to Vermont’s benchmark plan will bring their hearing coverage more in-line with </w:t>
      </w:r>
      <w:r w:rsidR="00A36122">
        <w:t xml:space="preserve">other </w:t>
      </w:r>
      <w:r w:rsidR="002A13D2">
        <w:t xml:space="preserve">Northeast states’ EHBs and improve the health </w:t>
      </w:r>
      <w:r w:rsidR="005C4ADD">
        <w:t xml:space="preserve">and quality of life </w:t>
      </w:r>
      <w:r w:rsidR="002A13D2">
        <w:t xml:space="preserve">of affected members. Furthermore, industry research suggested the </w:t>
      </w:r>
      <w:r w:rsidR="002A13D2" w:rsidRPr="00D40400">
        <w:t>3</w:t>
      </w:r>
      <w:r w:rsidR="00784494" w:rsidRPr="00D40400">
        <w:t>-</w:t>
      </w:r>
      <w:r w:rsidR="002A13D2" w:rsidRPr="00D40400">
        <w:t>year</w:t>
      </w:r>
      <w:r w:rsidR="002A13D2">
        <w:t xml:space="preserve"> limit will not prevent members from receiving necessary hearing aids due to the </w:t>
      </w:r>
      <w:r w:rsidR="00F41A4C">
        <w:t>average lifespan</w:t>
      </w:r>
      <w:r w:rsidR="002A13D2">
        <w:t xml:space="preserve"> of modern hearing aids and </w:t>
      </w:r>
      <w:r w:rsidR="00F41A4C">
        <w:t xml:space="preserve">the </w:t>
      </w:r>
      <w:r w:rsidR="006F1136">
        <w:t>3-year</w:t>
      </w:r>
      <w:r w:rsidR="00F41A4C">
        <w:t xml:space="preserve"> limit </w:t>
      </w:r>
      <w:r w:rsidR="002A13D2">
        <w:t xml:space="preserve">not applying </w:t>
      </w:r>
      <w:r w:rsidR="00F41A4C">
        <w:t>to medical necessity</w:t>
      </w:r>
      <w:r w:rsidR="002A13D2">
        <w:t>.</w:t>
      </w:r>
    </w:p>
    <w:p w14:paraId="77CC70B0" w14:textId="77777777" w:rsidR="00BC3F2D" w:rsidRDefault="001A2849" w:rsidP="00E06409">
      <w:pPr>
        <w:pStyle w:val="Heading2"/>
      </w:pPr>
      <w:bookmarkStart w:id="6" w:name="_Toc100737828"/>
      <w:r>
        <w:t>Methodology and Results</w:t>
      </w:r>
      <w:bookmarkEnd w:id="6"/>
      <w:r>
        <w:t xml:space="preserve"> </w:t>
      </w:r>
    </w:p>
    <w:p w14:paraId="4FB43A44" w14:textId="6336FE70" w:rsidR="008C30F8" w:rsidRDefault="008C30F8" w:rsidP="00BB5F3E">
      <w:pPr>
        <w:spacing w:before="200" w:after="0"/>
      </w:pPr>
      <w:r>
        <w:t xml:space="preserve">To perform the analysis, </w:t>
      </w:r>
      <w:proofErr w:type="spellStart"/>
      <w:r>
        <w:t>Wakely</w:t>
      </w:r>
      <w:proofErr w:type="spellEnd"/>
      <w:r>
        <w:t xml:space="preserve"> used </w:t>
      </w:r>
      <w:proofErr w:type="spellStart"/>
      <w:r w:rsidR="008972BE">
        <w:t>Wakely</w:t>
      </w:r>
      <w:proofErr w:type="spellEnd"/>
      <w:r w:rsidR="008972BE">
        <w:t xml:space="preserve"> Internal Databases</w:t>
      </w:r>
      <w:r w:rsidR="008972BE">
        <w:rPr>
          <w:rStyle w:val="FootnoteReference"/>
        </w:rPr>
        <w:footnoteReference w:id="3"/>
      </w:r>
      <w:r w:rsidR="008972BE">
        <w:t xml:space="preserve"> (</w:t>
      </w:r>
      <w:r>
        <w:t>WID</w:t>
      </w:r>
      <w:r w:rsidR="008972BE">
        <w:t>)</w:t>
      </w:r>
      <w:r>
        <w:t xml:space="preserve"> data – internal ACA data from the </w:t>
      </w:r>
      <w:r w:rsidR="00FA5DD6">
        <w:t xml:space="preserve">Northeast </w:t>
      </w:r>
      <w:r>
        <w:t>Region – to estimate the cost for adding an annual hearing exam and a hearing aid for each ear every 3 years.</w:t>
      </w:r>
      <w:r w:rsidR="00C241EB">
        <w:t xml:space="preserve"> Hearing </w:t>
      </w:r>
      <w:r w:rsidR="006F0C53">
        <w:t xml:space="preserve">aid </w:t>
      </w:r>
      <w:r w:rsidR="00C241EB">
        <w:t>exam</w:t>
      </w:r>
      <w:r w:rsidR="00FA5DD6">
        <w:t>s</w:t>
      </w:r>
      <w:r w:rsidR="00C241EB">
        <w:t xml:space="preserve"> and hearing aid claims were identified using the most recent </w:t>
      </w:r>
      <w:proofErr w:type="spellStart"/>
      <w:r w:rsidR="00C241EB">
        <w:t>Wakely</w:t>
      </w:r>
      <w:proofErr w:type="spellEnd"/>
      <w:r w:rsidR="00C241EB">
        <w:t xml:space="preserve"> ACA Claims Grouper code set to identify CPT codes assigned to hearing exams and hearing aids alongside CPT codes gathered from industry research and resources. We then determined the associated allowed PMPM claim cost for the set of CPT codes.</w:t>
      </w:r>
    </w:p>
    <w:p w14:paraId="6DE0A3D3" w14:textId="529450FD" w:rsidR="00BC3F2D" w:rsidRDefault="009E3AEF" w:rsidP="00BB5F3E">
      <w:pPr>
        <w:spacing w:before="200" w:after="0"/>
      </w:pPr>
      <w:r>
        <w:t>Since t</w:t>
      </w:r>
      <w:r w:rsidR="00C241EB">
        <w:t>he WID data is not available at the state level</w:t>
      </w:r>
      <w:r>
        <w:t>, we used</w:t>
      </w:r>
      <w:r w:rsidR="00C241EB">
        <w:t xml:space="preserve"> </w:t>
      </w:r>
      <w:r>
        <w:t>t</w:t>
      </w:r>
      <w:r w:rsidR="00C241EB">
        <w:t xml:space="preserve">he Northeast region data since Vermont is included in the region. However, not all states in the Northeast region cover hearing exams and hearing aids. As a result, we reviewed the benefit coverage, where available, for all states in the Northeast region. We then </w:t>
      </w:r>
      <w:r w:rsidR="008972BE">
        <w:t xml:space="preserve">adjusted the </w:t>
      </w:r>
      <w:r w:rsidR="00C241EB">
        <w:t xml:space="preserve">calculated per member per month (PMPM) amounts </w:t>
      </w:r>
      <w:r w:rsidR="008972BE">
        <w:t xml:space="preserve">to account </w:t>
      </w:r>
      <w:r w:rsidR="00C241EB">
        <w:t xml:space="preserve">for the percentage of members insured in states where hearing exams and hearing aids are currently a covered benefit. This </w:t>
      </w:r>
      <w:r w:rsidR="008972BE">
        <w:t xml:space="preserve">adjustment was performed </w:t>
      </w:r>
      <w:r w:rsidR="00C241EB">
        <w:t xml:space="preserve">to ensure our estimated claim cost was not understated due to lack of coverage. </w:t>
      </w:r>
      <w:r w:rsidR="00DA7661">
        <w:t xml:space="preserve">Furthermore, </w:t>
      </w:r>
      <w:proofErr w:type="spellStart"/>
      <w:r w:rsidR="00DA7661">
        <w:t>Wakely</w:t>
      </w:r>
      <w:proofErr w:type="spellEnd"/>
      <w:r w:rsidR="00DA7661">
        <w:t xml:space="preserve"> made</w:t>
      </w:r>
      <w:r w:rsidR="00796DA9">
        <w:t xml:space="preserve"> an age adjustment </w:t>
      </w:r>
      <w:r w:rsidR="00F5073E">
        <w:t xml:space="preserve">to account for Vermont having an older population, which is more likely to use a hearing aid benefit. </w:t>
      </w:r>
      <w:proofErr w:type="spellStart"/>
      <w:r w:rsidR="00F5073E">
        <w:t>Wakely</w:t>
      </w:r>
      <w:proofErr w:type="spellEnd"/>
      <w:r w:rsidR="00F5073E">
        <w:t xml:space="preserve"> made other adjustments based on other published studies and analyses on hearing aid costs.</w:t>
      </w:r>
      <w:r w:rsidR="00DA7661">
        <w:t xml:space="preserve"> </w:t>
      </w:r>
      <w:proofErr w:type="spellStart"/>
      <w:r w:rsidR="00C241EB">
        <w:t>Wakely</w:t>
      </w:r>
      <w:proofErr w:type="spellEnd"/>
      <w:r w:rsidR="00C241EB">
        <w:t xml:space="preserve"> also referenced other internal claim databases to confirm </w:t>
      </w:r>
      <w:r w:rsidR="00F5073E">
        <w:t xml:space="preserve">the </w:t>
      </w:r>
      <w:r w:rsidR="00C241EB">
        <w:t>reasonability of the results.</w:t>
      </w:r>
    </w:p>
    <w:p w14:paraId="2F05F70F" w14:textId="16B28AF6" w:rsidR="00BC3F2D" w:rsidRPr="00361BA8" w:rsidRDefault="001A2849" w:rsidP="00BB5F3E">
      <w:pPr>
        <w:spacing w:before="200" w:after="0"/>
      </w:pPr>
      <w:r>
        <w:t xml:space="preserve">The resulting cost estimate used from the estimated range </w:t>
      </w:r>
      <w:r w:rsidRPr="00812357">
        <w:t>was 0.</w:t>
      </w:r>
      <w:r w:rsidR="00BF4EE5" w:rsidRPr="00812357">
        <w:t>10</w:t>
      </w:r>
      <w:r w:rsidRPr="00812357">
        <w:t>%</w:t>
      </w:r>
      <w:r>
        <w:t xml:space="preserve"> of the total allowed claims.</w:t>
      </w:r>
      <w:r w:rsidR="003F12BB">
        <w:rPr>
          <w:rStyle w:val="FootnoteReference"/>
        </w:rPr>
        <w:footnoteReference w:id="4"/>
      </w:r>
      <w:r>
        <w:t xml:space="preserve"> </w:t>
      </w:r>
      <w:r w:rsidR="00361BA8">
        <w:t xml:space="preserve"> </w:t>
      </w:r>
    </w:p>
    <w:p w14:paraId="12E3B725" w14:textId="53007D98" w:rsidR="00BC3F2D" w:rsidRDefault="001A2849" w:rsidP="00E06409">
      <w:pPr>
        <w:pStyle w:val="Heading2"/>
      </w:pPr>
      <w:bookmarkStart w:id="7" w:name="_Toc100737829"/>
      <w:r>
        <w:t>Additional Clarifications on Certain Benefits</w:t>
      </w:r>
      <w:bookmarkEnd w:id="7"/>
    </w:p>
    <w:p w14:paraId="26D70D83" w14:textId="77777777" w:rsidR="00BB5F3E" w:rsidRDefault="00BB5F3E" w:rsidP="00E06409">
      <w:pPr>
        <w:pStyle w:val="Heading3"/>
      </w:pPr>
      <w:r w:rsidRPr="00BB5F3E">
        <w:t>RECOMMENDATIONS</w:t>
      </w:r>
    </w:p>
    <w:p w14:paraId="55A9AA29" w14:textId="0C6F59DC" w:rsidR="003C3D54" w:rsidRPr="00E06409" w:rsidRDefault="001A2849" w:rsidP="00E06409">
      <w:pPr>
        <w:pStyle w:val="Heading3"/>
        <w:rPr>
          <w:b w:val="0"/>
        </w:rPr>
      </w:pPr>
      <w:r w:rsidRPr="00E06409">
        <w:rPr>
          <w:b w:val="0"/>
        </w:rPr>
        <w:lastRenderedPageBreak/>
        <w:t xml:space="preserve">In addition to the benefit changes listed above, </w:t>
      </w:r>
      <w:r w:rsidR="000029F8" w:rsidRPr="00E06409">
        <w:rPr>
          <w:b w:val="0"/>
        </w:rPr>
        <w:t>Vermont</w:t>
      </w:r>
      <w:r w:rsidRPr="00E06409">
        <w:rPr>
          <w:b w:val="0"/>
        </w:rPr>
        <w:t xml:space="preserve"> recommends making additional changes to the language in its current benchmark plan with the goal of clarifying the coverage of select existing benefits or to comply with federal requirements. Based on conversations with </w:t>
      </w:r>
      <w:r w:rsidR="000029F8" w:rsidRPr="00E06409">
        <w:rPr>
          <w:b w:val="0"/>
        </w:rPr>
        <w:t>Vermont</w:t>
      </w:r>
      <w:r w:rsidRPr="00E06409">
        <w:rPr>
          <w:b w:val="0"/>
        </w:rPr>
        <w:t xml:space="preserve"> and CMS, they do not represent actual changes to any EHB benefit coverages. Therefore, no pricing exercise was performed for any such changes. </w:t>
      </w:r>
      <w:r w:rsidR="006B0736" w:rsidRPr="00E06409">
        <w:rPr>
          <w:b w:val="0"/>
          <w:color w:val="000000"/>
        </w:rPr>
        <w:t>The recommendation is to remove any reference to an individual’s diagnosis (e.g.</w:t>
      </w:r>
      <w:r w:rsidR="00F5073E" w:rsidRPr="00E06409">
        <w:rPr>
          <w:b w:val="0"/>
          <w:color w:val="000000"/>
        </w:rPr>
        <w:t>,</w:t>
      </w:r>
      <w:r w:rsidR="006B0736" w:rsidRPr="00E06409">
        <w:rPr>
          <w:b w:val="0"/>
          <w:color w:val="000000"/>
        </w:rPr>
        <w:t xml:space="preserve"> diabetes) or age (e.g.</w:t>
      </w:r>
      <w:r w:rsidR="00F5073E" w:rsidRPr="00E06409">
        <w:rPr>
          <w:b w:val="0"/>
          <w:color w:val="000000"/>
        </w:rPr>
        <w:t>,</w:t>
      </w:r>
      <w:r w:rsidR="006B0736" w:rsidRPr="00E06409">
        <w:rPr>
          <w:b w:val="0"/>
          <w:color w:val="000000"/>
        </w:rPr>
        <w:t xml:space="preserve"> under 21) in the benchmark plan that is presumed to be discriminatory under </w:t>
      </w:r>
      <w:r w:rsidR="006B0736" w:rsidRPr="00E06409">
        <w:rPr>
          <w:b w:val="0"/>
        </w:rPr>
        <w:t>45 CFR 156.125</w:t>
      </w:r>
      <w:r w:rsidR="006B0736" w:rsidRPr="00E06409">
        <w:rPr>
          <w:b w:val="0"/>
          <w:color w:val="000000"/>
        </w:rPr>
        <w:t xml:space="preserve">. </w:t>
      </w:r>
      <w:r w:rsidR="003C3D54" w:rsidRPr="00E06409">
        <w:rPr>
          <w:b w:val="0"/>
          <w:color w:val="000000"/>
        </w:rPr>
        <w:t>Examples of benefits with potentially discriminatory language in the current EHB</w:t>
      </w:r>
      <w:r w:rsidR="008972BE" w:rsidRPr="00E06409">
        <w:rPr>
          <w:b w:val="0"/>
          <w:color w:val="000000"/>
        </w:rPr>
        <w:t xml:space="preserve"> </w:t>
      </w:r>
      <w:r w:rsidR="00F5073E" w:rsidRPr="00E06409">
        <w:rPr>
          <w:b w:val="0"/>
          <w:color w:val="000000"/>
        </w:rPr>
        <w:t xml:space="preserve">and for which the language was revised </w:t>
      </w:r>
      <w:r w:rsidR="008972BE" w:rsidRPr="00E06409">
        <w:rPr>
          <w:b w:val="0"/>
          <w:color w:val="000000"/>
        </w:rPr>
        <w:t>in the proposed benchmark plan document</w:t>
      </w:r>
      <w:r w:rsidR="003C3D54" w:rsidRPr="00E06409">
        <w:rPr>
          <w:b w:val="0"/>
          <w:color w:val="000000"/>
        </w:rPr>
        <w:t xml:space="preserve"> include:</w:t>
      </w:r>
    </w:p>
    <w:p w14:paraId="3D794AFC" w14:textId="16FCEF09" w:rsidR="003C3D54" w:rsidRPr="008972BE" w:rsidRDefault="003C3D54" w:rsidP="00BB5F3E">
      <w:pPr>
        <w:pStyle w:val="ListParagraph"/>
        <w:numPr>
          <w:ilvl w:val="0"/>
          <w:numId w:val="12"/>
        </w:numPr>
        <w:pBdr>
          <w:top w:val="nil"/>
          <w:left w:val="nil"/>
          <w:bottom w:val="nil"/>
          <w:right w:val="nil"/>
          <w:between w:val="nil"/>
        </w:pBdr>
        <w:spacing w:before="200" w:after="0"/>
        <w:contextualSpacing w:val="0"/>
        <w:rPr>
          <w:color w:val="000000"/>
        </w:rPr>
      </w:pPr>
      <w:r w:rsidRPr="008972BE">
        <w:rPr>
          <w:color w:val="000000"/>
        </w:rPr>
        <w:t>Nutritional Counseling</w:t>
      </w:r>
    </w:p>
    <w:p w14:paraId="006AD842" w14:textId="2D13B013" w:rsidR="003C3D54" w:rsidRPr="008972BE" w:rsidRDefault="003C3D54" w:rsidP="00BB5F3E">
      <w:pPr>
        <w:pStyle w:val="ListParagraph"/>
        <w:numPr>
          <w:ilvl w:val="0"/>
          <w:numId w:val="12"/>
        </w:numPr>
        <w:pBdr>
          <w:top w:val="nil"/>
          <w:left w:val="nil"/>
          <w:bottom w:val="nil"/>
          <w:right w:val="nil"/>
          <w:between w:val="nil"/>
        </w:pBdr>
        <w:spacing w:before="200" w:after="0"/>
        <w:contextualSpacing w:val="0"/>
        <w:rPr>
          <w:color w:val="000000"/>
        </w:rPr>
      </w:pPr>
      <w:r w:rsidRPr="008972BE">
        <w:rPr>
          <w:color w:val="000000"/>
        </w:rPr>
        <w:t>Habilitative Services</w:t>
      </w:r>
    </w:p>
    <w:p w14:paraId="6756A344" w14:textId="2AC35FC2" w:rsidR="003C3D54" w:rsidRPr="008972BE" w:rsidRDefault="003C3D54" w:rsidP="00BB5F3E">
      <w:pPr>
        <w:pStyle w:val="ListParagraph"/>
        <w:numPr>
          <w:ilvl w:val="0"/>
          <w:numId w:val="12"/>
        </w:numPr>
        <w:pBdr>
          <w:top w:val="nil"/>
          <w:left w:val="nil"/>
          <w:bottom w:val="nil"/>
          <w:right w:val="nil"/>
          <w:between w:val="nil"/>
        </w:pBdr>
        <w:spacing w:before="200" w:after="0"/>
        <w:contextualSpacing w:val="0"/>
        <w:rPr>
          <w:color w:val="000000"/>
        </w:rPr>
      </w:pPr>
      <w:r w:rsidRPr="008972BE">
        <w:rPr>
          <w:color w:val="000000"/>
        </w:rPr>
        <w:t>Rehabilitative Services</w:t>
      </w:r>
    </w:p>
    <w:p w14:paraId="243D4D4D" w14:textId="72FE6E4C" w:rsidR="003C3D54" w:rsidRPr="008972BE" w:rsidRDefault="003C3D54" w:rsidP="00BB5F3E">
      <w:pPr>
        <w:pStyle w:val="ListParagraph"/>
        <w:numPr>
          <w:ilvl w:val="0"/>
          <w:numId w:val="12"/>
        </w:numPr>
        <w:pBdr>
          <w:top w:val="nil"/>
          <w:left w:val="nil"/>
          <w:bottom w:val="nil"/>
          <w:right w:val="nil"/>
          <w:between w:val="nil"/>
        </w:pBdr>
        <w:spacing w:before="200" w:after="0"/>
        <w:contextualSpacing w:val="0"/>
        <w:rPr>
          <w:color w:val="000000"/>
        </w:rPr>
      </w:pPr>
      <w:r w:rsidRPr="008972BE">
        <w:rPr>
          <w:color w:val="000000"/>
        </w:rPr>
        <w:t>Foot Care</w:t>
      </w:r>
    </w:p>
    <w:p w14:paraId="25DA53D2" w14:textId="594EB77E" w:rsidR="003C3D54" w:rsidRPr="008972BE" w:rsidRDefault="003C3D54" w:rsidP="00BB5F3E">
      <w:pPr>
        <w:pStyle w:val="ListParagraph"/>
        <w:numPr>
          <w:ilvl w:val="0"/>
          <w:numId w:val="12"/>
        </w:numPr>
        <w:pBdr>
          <w:top w:val="nil"/>
          <w:left w:val="nil"/>
          <w:bottom w:val="nil"/>
          <w:right w:val="nil"/>
          <w:between w:val="nil"/>
        </w:pBdr>
        <w:spacing w:before="200" w:after="200"/>
        <w:contextualSpacing w:val="0"/>
        <w:rPr>
          <w:color w:val="000000"/>
        </w:rPr>
      </w:pPr>
      <w:r w:rsidRPr="008972BE">
        <w:rPr>
          <w:color w:val="000000"/>
        </w:rPr>
        <w:t>Prescribed Food and Nutri</w:t>
      </w:r>
      <w:r w:rsidR="00CA1536">
        <w:rPr>
          <w:color w:val="000000"/>
        </w:rPr>
        <w:t>ti</w:t>
      </w:r>
      <w:r w:rsidRPr="008972BE">
        <w:rPr>
          <w:color w:val="000000"/>
        </w:rPr>
        <w:t>onal Formulae</w:t>
      </w:r>
    </w:p>
    <w:p w14:paraId="3B162AE8" w14:textId="7CC72841" w:rsidR="00BC3F2D" w:rsidRPr="002A13D2" w:rsidRDefault="00DD7388" w:rsidP="00E06409">
      <w:pPr>
        <w:pStyle w:val="Heading2"/>
      </w:pPr>
      <w:bookmarkStart w:id="8" w:name="_Toc100737830"/>
      <w:r w:rsidRPr="002A13D2">
        <w:t>Summary of Benefit Additions</w:t>
      </w:r>
      <w:bookmarkEnd w:id="8"/>
    </w:p>
    <w:p w14:paraId="5C78E763" w14:textId="66D44A6D" w:rsidR="00BC3F2D" w:rsidRPr="00812357" w:rsidRDefault="001A2849" w:rsidP="00BB5F3E">
      <w:pPr>
        <w:keepNext/>
        <w:keepLines/>
        <w:spacing w:before="200" w:after="0"/>
      </w:pPr>
      <w:r>
        <w:t xml:space="preserve">After performing the </w:t>
      </w:r>
      <w:r w:rsidRPr="00812357">
        <w:t xml:space="preserve">above pricing exercises for the listed benefit changes, the projected total increase </w:t>
      </w:r>
      <w:r w:rsidR="002C0A88" w:rsidRPr="00812357">
        <w:t xml:space="preserve">of the recommended benefits </w:t>
      </w:r>
      <w:r w:rsidRPr="00812357">
        <w:t>is 0.</w:t>
      </w:r>
      <w:r w:rsidR="00554E9F" w:rsidRPr="00812357">
        <w:t>10</w:t>
      </w:r>
      <w:r w:rsidRPr="00812357">
        <w:t xml:space="preserve">% as a percent of total allowed claims </w:t>
      </w:r>
      <w:r w:rsidR="002C0A88" w:rsidRPr="00812357">
        <w:t xml:space="preserve">relative to the current benchmark. This is </w:t>
      </w:r>
      <w:r w:rsidRPr="00812357">
        <w:t>shown in Table 1 below.</w:t>
      </w:r>
    </w:p>
    <w:p w14:paraId="2551AA64" w14:textId="77777777" w:rsidR="00BC3F2D" w:rsidRPr="00812357" w:rsidRDefault="001A2849" w:rsidP="00BB5F3E">
      <w:pPr>
        <w:keepNext/>
        <w:keepLines/>
        <w:spacing w:before="200" w:after="0"/>
        <w:jc w:val="center"/>
        <w:rPr>
          <w:b/>
        </w:rPr>
      </w:pPr>
      <w:r w:rsidRPr="00812357">
        <w:rPr>
          <w:b/>
        </w:rPr>
        <w:t xml:space="preserve">Table 1: Impact of Added Benefits – Proposed Benchmark </w:t>
      </w:r>
    </w:p>
    <w:tbl>
      <w:tblPr>
        <w:tblStyle w:val="a1"/>
        <w:tblW w:w="4473" w:type="pct"/>
        <w:jc w:val="center"/>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Look w:val="0420" w:firstRow="1" w:lastRow="0" w:firstColumn="0" w:lastColumn="0" w:noHBand="0" w:noVBand="1"/>
      </w:tblPr>
      <w:tblGrid>
        <w:gridCol w:w="5757"/>
        <w:gridCol w:w="2608"/>
      </w:tblGrid>
      <w:tr w:rsidR="00AF215D" w:rsidRPr="00812357" w14:paraId="1B352FCD" w14:textId="77777777" w:rsidTr="0038312D">
        <w:trPr>
          <w:cnfStyle w:val="100000000000" w:firstRow="1" w:lastRow="0" w:firstColumn="0" w:lastColumn="0" w:oddVBand="0" w:evenVBand="0" w:oddHBand="0" w:evenHBand="0" w:firstRowFirstColumn="0" w:firstRowLastColumn="0" w:lastRowFirstColumn="0" w:lastRowLastColumn="0"/>
          <w:jc w:val="center"/>
        </w:trPr>
        <w:tc>
          <w:tcPr>
            <w:tcW w:w="3441" w:type="pct"/>
            <w:tcBorders>
              <w:top w:val="single" w:sz="4" w:space="0" w:color="263692" w:themeColor="accent1"/>
              <w:left w:val="single" w:sz="4" w:space="0" w:color="263692" w:themeColor="accent1"/>
              <w:bottom w:val="single" w:sz="4" w:space="0" w:color="263692" w:themeColor="accent1"/>
              <w:right w:val="nil"/>
            </w:tcBorders>
          </w:tcPr>
          <w:p w14:paraId="6180FC57" w14:textId="77777777" w:rsidR="00AF215D" w:rsidRPr="00812357" w:rsidRDefault="00AF215D" w:rsidP="0038312D">
            <w:pPr>
              <w:keepNext/>
              <w:keepLines/>
              <w:jc w:val="left"/>
              <w:rPr>
                <w:sz w:val="20"/>
              </w:rPr>
            </w:pPr>
            <w:r w:rsidRPr="00812357">
              <w:rPr>
                <w:sz w:val="20"/>
              </w:rPr>
              <w:t>Benefit Difference</w:t>
            </w:r>
          </w:p>
        </w:tc>
        <w:tc>
          <w:tcPr>
            <w:tcW w:w="1559" w:type="pct"/>
            <w:tcBorders>
              <w:top w:val="single" w:sz="4" w:space="0" w:color="263692" w:themeColor="accent1"/>
              <w:left w:val="nil"/>
              <w:bottom w:val="single" w:sz="4" w:space="0" w:color="263692" w:themeColor="accent1"/>
              <w:right w:val="single" w:sz="4" w:space="0" w:color="263692" w:themeColor="accent1"/>
            </w:tcBorders>
          </w:tcPr>
          <w:p w14:paraId="2C5D87F3" w14:textId="77777777" w:rsidR="00AF215D" w:rsidRPr="00812357" w:rsidRDefault="00AF215D" w:rsidP="0038312D">
            <w:pPr>
              <w:keepNext/>
              <w:keepLines/>
              <w:jc w:val="center"/>
              <w:rPr>
                <w:sz w:val="20"/>
              </w:rPr>
            </w:pPr>
            <w:r w:rsidRPr="00812357">
              <w:rPr>
                <w:sz w:val="20"/>
              </w:rPr>
              <w:t>Allowed Cost Impact</w:t>
            </w:r>
            <w:r w:rsidRPr="00812357">
              <w:rPr>
                <w:sz w:val="20"/>
                <w:vertAlign w:val="superscript"/>
              </w:rPr>
              <w:footnoteReference w:id="5"/>
            </w:r>
            <w:r w:rsidRPr="00812357">
              <w:rPr>
                <w:sz w:val="20"/>
              </w:rPr>
              <w:t xml:space="preserve"> </w:t>
            </w:r>
          </w:p>
        </w:tc>
      </w:tr>
      <w:tr w:rsidR="00AF215D" w:rsidRPr="00812357" w14:paraId="3F26426E" w14:textId="77777777" w:rsidTr="00E06409">
        <w:trPr>
          <w:trHeight w:val="317"/>
          <w:jc w:val="center"/>
        </w:trPr>
        <w:tc>
          <w:tcPr>
            <w:tcW w:w="3441" w:type="pct"/>
            <w:tcBorders>
              <w:top w:val="single" w:sz="4" w:space="0" w:color="263692" w:themeColor="accent1"/>
            </w:tcBorders>
            <w:vAlign w:val="center"/>
          </w:tcPr>
          <w:p w14:paraId="627779A0" w14:textId="77777777" w:rsidR="00AF215D" w:rsidRPr="00812357" w:rsidRDefault="00AF215D" w:rsidP="00E06409">
            <w:pPr>
              <w:keepNext/>
              <w:keepLines/>
              <w:spacing w:before="0"/>
              <w:jc w:val="left"/>
              <w:rPr>
                <w:rFonts w:ascii="Arial" w:eastAsia="Arial" w:hAnsi="Arial" w:cs="Arial"/>
                <w:sz w:val="22"/>
                <w:szCs w:val="22"/>
              </w:rPr>
            </w:pPr>
            <w:r w:rsidRPr="00812357">
              <w:rPr>
                <w:rFonts w:ascii="Arial" w:eastAsia="Arial" w:hAnsi="Arial" w:cs="Arial"/>
                <w:sz w:val="22"/>
                <w:szCs w:val="22"/>
              </w:rPr>
              <w:t>Annual Hearing Aid Exam &amp; Hearing Aids Every 3 Years</w:t>
            </w:r>
          </w:p>
        </w:tc>
        <w:tc>
          <w:tcPr>
            <w:tcW w:w="1559" w:type="pct"/>
            <w:tcBorders>
              <w:top w:val="single" w:sz="4" w:space="0" w:color="263692" w:themeColor="accent1"/>
            </w:tcBorders>
            <w:vAlign w:val="center"/>
          </w:tcPr>
          <w:p w14:paraId="1C81EB22" w14:textId="77777777" w:rsidR="00AF215D" w:rsidRPr="00812357" w:rsidRDefault="00AF215D" w:rsidP="00E06409">
            <w:pPr>
              <w:keepNext/>
              <w:keepLines/>
              <w:spacing w:before="0"/>
              <w:jc w:val="right"/>
              <w:rPr>
                <w:rFonts w:ascii="Arial" w:eastAsia="Arial" w:hAnsi="Arial" w:cs="Arial"/>
                <w:sz w:val="22"/>
                <w:szCs w:val="22"/>
              </w:rPr>
            </w:pPr>
            <w:r w:rsidRPr="00812357">
              <w:rPr>
                <w:rFonts w:ascii="Arial" w:eastAsia="Arial" w:hAnsi="Arial" w:cs="Arial"/>
                <w:sz w:val="22"/>
                <w:szCs w:val="22"/>
              </w:rPr>
              <w:t>0.10%</w:t>
            </w:r>
          </w:p>
        </w:tc>
      </w:tr>
      <w:tr w:rsidR="00AF215D" w:rsidRPr="006628D8" w14:paraId="2F04619D" w14:textId="77777777" w:rsidTr="00E06409">
        <w:trPr>
          <w:trHeight w:val="317"/>
          <w:jc w:val="center"/>
        </w:trPr>
        <w:tc>
          <w:tcPr>
            <w:tcW w:w="3441" w:type="pct"/>
            <w:vAlign w:val="center"/>
          </w:tcPr>
          <w:p w14:paraId="39CF4FF3" w14:textId="77777777" w:rsidR="00AF215D" w:rsidRPr="00812357" w:rsidRDefault="00AF215D" w:rsidP="00E06409">
            <w:pPr>
              <w:keepNext/>
              <w:keepLines/>
              <w:spacing w:before="0"/>
              <w:jc w:val="left"/>
              <w:rPr>
                <w:rFonts w:ascii="Arial" w:hAnsi="Arial" w:cs="Arial"/>
                <w:sz w:val="22"/>
                <w:szCs w:val="22"/>
              </w:rPr>
            </w:pPr>
            <w:r w:rsidRPr="00812357">
              <w:rPr>
                <w:rFonts w:ascii="Arial" w:hAnsi="Arial" w:cs="Arial"/>
                <w:b/>
                <w:sz w:val="22"/>
                <w:szCs w:val="22"/>
              </w:rPr>
              <w:t>Total</w:t>
            </w:r>
          </w:p>
        </w:tc>
        <w:tc>
          <w:tcPr>
            <w:tcW w:w="1559" w:type="pct"/>
            <w:vAlign w:val="center"/>
          </w:tcPr>
          <w:p w14:paraId="613AFCE2" w14:textId="77777777" w:rsidR="00AF215D" w:rsidRPr="006628D8" w:rsidRDefault="00AF215D" w:rsidP="00E06409">
            <w:pPr>
              <w:keepNext/>
              <w:keepLines/>
              <w:spacing w:before="0"/>
              <w:jc w:val="right"/>
              <w:rPr>
                <w:rFonts w:ascii="Arial" w:eastAsia="Arial" w:hAnsi="Arial" w:cs="Arial"/>
                <w:sz w:val="22"/>
                <w:szCs w:val="22"/>
              </w:rPr>
            </w:pPr>
            <w:r w:rsidRPr="00812357">
              <w:rPr>
                <w:rFonts w:ascii="Arial" w:eastAsia="Arial" w:hAnsi="Arial" w:cs="Arial"/>
                <w:b/>
                <w:sz w:val="22"/>
                <w:szCs w:val="22"/>
              </w:rPr>
              <w:t>0.10%</w:t>
            </w:r>
          </w:p>
        </w:tc>
      </w:tr>
    </w:tbl>
    <w:p w14:paraId="7E975B3E" w14:textId="77777777" w:rsidR="00BC3F2D" w:rsidRDefault="001A2849" w:rsidP="00805881">
      <w:pPr>
        <w:spacing w:before="200" w:after="0"/>
      </w:pPr>
      <w:r>
        <w:t>There are two separate tests that a new benchmark must meet in order for it to be approved. The first test that needs to be met is the typical employer plan test. In particular, a new benchmark must provide a scope of benefits that is equal to a typical employer plan. The second test for a new benchmark is the generosity test. In particular, a state’s EHB-benchmark plan must not exceed the generosity of the most generous among plans listed at 45 CRR 156.111(b)(2)(ii)(A) and (B).</w:t>
      </w:r>
    </w:p>
    <w:p w14:paraId="0F944C8B" w14:textId="03CB6445" w:rsidR="00BC3F2D" w:rsidRDefault="001A2849" w:rsidP="00805881">
      <w:pPr>
        <w:spacing w:before="200" w:after="0"/>
      </w:pPr>
      <w:r>
        <w:lastRenderedPageBreak/>
        <w:t xml:space="preserve">For the typicality test, </w:t>
      </w:r>
      <w:proofErr w:type="spellStart"/>
      <w:r>
        <w:t>Wakely</w:t>
      </w:r>
      <w:proofErr w:type="spellEnd"/>
      <w:r>
        <w:t xml:space="preserve"> selected </w:t>
      </w:r>
      <w:r w:rsidRPr="008972BE">
        <w:t>the</w:t>
      </w:r>
      <w:r w:rsidR="003C3D54" w:rsidRPr="008972BE">
        <w:t xml:space="preserve"> Blue Cross Blue Shield of Vermont Plan J with </w:t>
      </w:r>
      <w:r w:rsidR="00812357">
        <w:t xml:space="preserve">additional coverage for lifestyle and stomach acid drugs. </w:t>
      </w:r>
      <w:r w:rsidR="0099370F" w:rsidRPr="008972BE">
        <w:t>Plan J</w:t>
      </w:r>
      <w:r>
        <w:t xml:space="preserve"> </w:t>
      </w:r>
      <w:r w:rsidR="000036DA">
        <w:t xml:space="preserve">had the highest enrollment within the large group products in Vermont </w:t>
      </w:r>
      <w:r w:rsidR="005C4ADD">
        <w:t xml:space="preserve">(estimated to be almost half of the </w:t>
      </w:r>
      <w:proofErr w:type="gramStart"/>
      <w:r w:rsidR="005C4ADD">
        <w:t>fully-insured</w:t>
      </w:r>
      <w:proofErr w:type="gramEnd"/>
      <w:r w:rsidR="005C4ADD">
        <w:t xml:space="preserve"> large group market). It also</w:t>
      </w:r>
      <w:r w:rsidR="00A36122">
        <w:t xml:space="preserve"> met other requirements in 45 CFR 156.111</w:t>
      </w:r>
      <w:r>
        <w:t xml:space="preserve">and therefore can be used for the typicality test under 45 CFR 156.111(b)(2)(i). </w:t>
      </w:r>
      <w:r w:rsidR="007C44DD" w:rsidRPr="00D40400">
        <w:t xml:space="preserve">Plan J is </w:t>
      </w:r>
      <w:r w:rsidR="00784494" w:rsidRPr="00D40400">
        <w:t>identical</w:t>
      </w:r>
      <w:r w:rsidR="007C44DD" w:rsidRPr="00D40400">
        <w:t xml:space="preserve"> to the current EHB BMP with the exception of </w:t>
      </w:r>
      <w:r w:rsidR="005C4ADD">
        <w:t>including drug coverage for lifestyle drugs and stomach acid drugs. I</w:t>
      </w:r>
      <w:r w:rsidR="00A36122">
        <w:t xml:space="preserve">t </w:t>
      </w:r>
      <w:r w:rsidR="00916820">
        <w:t xml:space="preserve">does not sufficiently </w:t>
      </w:r>
      <w:r>
        <w:t xml:space="preserve">cover the pediatric </w:t>
      </w:r>
      <w:r w:rsidR="00CB565A">
        <w:t>dental</w:t>
      </w:r>
      <w:r>
        <w:t xml:space="preserve"> and vision EHB category under </w:t>
      </w:r>
      <w:r>
        <w:rPr>
          <w:highlight w:val="white"/>
        </w:rPr>
        <w:t>45 CFR</w:t>
      </w:r>
      <w:r>
        <w:t xml:space="preserve"> 156.110(a). As a result, the pediatric </w:t>
      </w:r>
      <w:r w:rsidR="00CB565A">
        <w:t>dental</w:t>
      </w:r>
      <w:r w:rsidR="008A1A81">
        <w:t xml:space="preserve"> a</w:t>
      </w:r>
      <w:r w:rsidR="00BA0C60">
        <w:t xml:space="preserve">nd </w:t>
      </w:r>
      <w:r w:rsidR="008A1A81">
        <w:t>vision</w:t>
      </w:r>
      <w:r>
        <w:t xml:space="preserve"> EHB categor</w:t>
      </w:r>
      <w:r w:rsidR="00BA0C60">
        <w:t xml:space="preserve">ies </w:t>
      </w:r>
      <w:r>
        <w:t xml:space="preserve">from the </w:t>
      </w:r>
      <w:r w:rsidR="00CB565A">
        <w:t xml:space="preserve">State CHIP </w:t>
      </w:r>
      <w:r>
        <w:t>plan</w:t>
      </w:r>
      <w:r w:rsidR="000036DA">
        <w:t xml:space="preserve"> </w:t>
      </w:r>
      <w:r>
        <w:t xml:space="preserve">were used to supplement the plan as allowed and required under </w:t>
      </w:r>
      <w:r>
        <w:rPr>
          <w:highlight w:val="white"/>
        </w:rPr>
        <w:t>45 CFR</w:t>
      </w:r>
      <w:r>
        <w:t xml:space="preserve"> 156.110(b).</w:t>
      </w:r>
    </w:p>
    <w:p w14:paraId="039FC002" w14:textId="45B0A157" w:rsidR="00F41A4C" w:rsidRDefault="001A2849" w:rsidP="00805881">
      <w:pPr>
        <w:spacing w:before="200" w:after="0"/>
      </w:pPr>
      <w:r>
        <w:t xml:space="preserve">For the generosity test, </w:t>
      </w:r>
      <w:proofErr w:type="spellStart"/>
      <w:r>
        <w:t>Wakely</w:t>
      </w:r>
      <w:proofErr w:type="spellEnd"/>
      <w:r>
        <w:t xml:space="preserve"> selected</w:t>
      </w:r>
      <w:r w:rsidR="00831285">
        <w:t xml:space="preserve"> </w:t>
      </w:r>
      <w:r w:rsidR="009E3AEF" w:rsidRPr="008972BE">
        <w:t xml:space="preserve">a </w:t>
      </w:r>
      <w:r w:rsidR="003B5C2A" w:rsidRPr="008972BE">
        <w:t>state employee plan</w:t>
      </w:r>
      <w:r w:rsidR="009E3AEF" w:rsidRPr="008972BE">
        <w:t xml:space="preserve"> that meet the standards under 45 CFR 156.100</w:t>
      </w:r>
      <w:r w:rsidR="003B5C2A" w:rsidRPr="008972BE">
        <w:t xml:space="preserve">, </w:t>
      </w:r>
      <w:r w:rsidR="008A1A81" w:rsidRPr="008972BE">
        <w:t>Blue Cross Blue Shield</w:t>
      </w:r>
      <w:r w:rsidR="00831285" w:rsidRPr="008972BE">
        <w:t xml:space="preserve"> of Vermont’s </w:t>
      </w:r>
      <w:proofErr w:type="spellStart"/>
      <w:r w:rsidR="00831285" w:rsidRPr="008972BE">
        <w:t>TotalChoice</w:t>
      </w:r>
      <w:proofErr w:type="spellEnd"/>
      <w:r w:rsidR="008A1A81" w:rsidRPr="008972BE">
        <w:t xml:space="preserve"> plan</w:t>
      </w:r>
      <w:r w:rsidRPr="008972BE">
        <w:t xml:space="preserve">. Since the </w:t>
      </w:r>
      <w:proofErr w:type="spellStart"/>
      <w:r w:rsidR="00CB565A" w:rsidRPr="008972BE">
        <w:t>TotalChoice</w:t>
      </w:r>
      <w:proofErr w:type="spellEnd"/>
      <w:r w:rsidR="00CB565A" w:rsidRPr="008972BE">
        <w:t xml:space="preserve"> </w:t>
      </w:r>
      <w:r w:rsidRPr="008972BE">
        <w:t xml:space="preserve">plan does not sufficiently cover the </w:t>
      </w:r>
      <w:r w:rsidR="00CB565A" w:rsidRPr="00B45C5A">
        <w:t xml:space="preserve">dental and </w:t>
      </w:r>
      <w:r w:rsidRPr="00B45C5A">
        <w:t>vision EHB cat</w:t>
      </w:r>
      <w:r w:rsidR="00CB565A" w:rsidRPr="00B45C5A">
        <w:t>egories</w:t>
      </w:r>
      <w:r w:rsidRPr="00B45C5A">
        <w:t xml:space="preserve"> under</w:t>
      </w:r>
      <w:r w:rsidRPr="008A1A81">
        <w:t xml:space="preserve"> 45 CFR 156.110(a), the </w:t>
      </w:r>
      <w:r w:rsidR="00CB565A">
        <w:t xml:space="preserve">State CHIP and Federal VIP plans, respectively, were used to supplement the plan </w:t>
      </w:r>
      <w:r>
        <w:t xml:space="preserve">as allowed and required under </w:t>
      </w:r>
      <w:r>
        <w:rPr>
          <w:highlight w:val="white"/>
        </w:rPr>
        <w:t>45 CFR</w:t>
      </w:r>
      <w:r>
        <w:t xml:space="preserve"> 156.110(b).</w:t>
      </w:r>
      <w:r w:rsidR="005D3CA9">
        <w:t xml:space="preserve"> </w:t>
      </w:r>
      <w:r w:rsidR="000036DA">
        <w:t xml:space="preserve">The </w:t>
      </w:r>
      <w:proofErr w:type="spellStart"/>
      <w:r w:rsidR="000036DA">
        <w:t>TotalChoice</w:t>
      </w:r>
      <w:proofErr w:type="spellEnd"/>
      <w:r w:rsidR="000036DA">
        <w:t xml:space="preserve"> plan and preceding supplementation as herein collectively referred to as </w:t>
      </w:r>
      <w:proofErr w:type="spellStart"/>
      <w:r w:rsidR="000036DA">
        <w:t>TotalChoice</w:t>
      </w:r>
      <w:proofErr w:type="spellEnd"/>
      <w:r w:rsidR="000036DA">
        <w:t>.</w:t>
      </w:r>
    </w:p>
    <w:p w14:paraId="4E6D1CB6" w14:textId="242A4EEA" w:rsidR="00F41A4C" w:rsidRDefault="005D3CA9" w:rsidP="00805881">
      <w:pPr>
        <w:spacing w:before="200" w:after="0"/>
      </w:pPr>
      <w:r>
        <w:t xml:space="preserve">Overall, the three plans described above had identical supplementation except for Plan J </w:t>
      </w:r>
      <w:r w:rsidRPr="00D40400">
        <w:t>wh</w:t>
      </w:r>
      <w:r w:rsidR="009B2CE8" w:rsidRPr="00D40400">
        <w:t xml:space="preserve">ere </w:t>
      </w:r>
      <w:proofErr w:type="spellStart"/>
      <w:r w:rsidR="009B2CE8" w:rsidRPr="00D40400">
        <w:t>Wakely</w:t>
      </w:r>
      <w:proofErr w:type="spellEnd"/>
      <w:r w:rsidRPr="00D40400">
        <w:t xml:space="preserve"> used</w:t>
      </w:r>
      <w:r>
        <w:t xml:space="preserve"> the State CHIP plan as supplementation for Pediatric Vision</w:t>
      </w:r>
      <w:r w:rsidR="004F713E">
        <w:t xml:space="preserve"> while the others used the Federal VIP plan</w:t>
      </w:r>
      <w:r>
        <w:t xml:space="preserve">. </w:t>
      </w:r>
      <w:r w:rsidR="00F41A4C">
        <w:t>Table 2 provides an overview of the above plans and their pediatric supplementation.</w:t>
      </w:r>
    </w:p>
    <w:p w14:paraId="4CF120D9" w14:textId="7F1FF875" w:rsidR="005D3CA9" w:rsidRPr="00BB79BF" w:rsidRDefault="005D3CA9" w:rsidP="00805881">
      <w:pPr>
        <w:keepNext/>
        <w:keepLines/>
        <w:spacing w:before="200" w:after="0"/>
        <w:jc w:val="center"/>
        <w:rPr>
          <w:b/>
        </w:rPr>
      </w:pPr>
      <w:r w:rsidRPr="00BB79BF">
        <w:rPr>
          <w:b/>
        </w:rPr>
        <w:t xml:space="preserve">Table </w:t>
      </w:r>
      <w:r>
        <w:rPr>
          <w:b/>
        </w:rPr>
        <w:t>2</w:t>
      </w:r>
      <w:r w:rsidRPr="00BB79BF">
        <w:rPr>
          <w:b/>
        </w:rPr>
        <w:t xml:space="preserve">: </w:t>
      </w:r>
      <w:r>
        <w:rPr>
          <w:b/>
        </w:rPr>
        <w:t>Plan Supplementation</w:t>
      </w:r>
    </w:p>
    <w:tbl>
      <w:tblPr>
        <w:tblW w:w="8757" w:type="dxa"/>
        <w:jc w:val="center"/>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Look w:val="04A0" w:firstRow="1" w:lastRow="0" w:firstColumn="1" w:lastColumn="0" w:noHBand="0" w:noVBand="1"/>
      </w:tblPr>
      <w:tblGrid>
        <w:gridCol w:w="1885"/>
        <w:gridCol w:w="2790"/>
        <w:gridCol w:w="2148"/>
        <w:gridCol w:w="1934"/>
      </w:tblGrid>
      <w:tr w:rsidR="005D3CA9" w:rsidRPr="005D3CA9" w14:paraId="62789B36" w14:textId="77777777" w:rsidTr="00E06409">
        <w:trPr>
          <w:trHeight w:val="428"/>
          <w:jc w:val="center"/>
        </w:trPr>
        <w:tc>
          <w:tcPr>
            <w:tcW w:w="1885" w:type="dxa"/>
            <w:shd w:val="clear" w:color="000000" w:fill="263692"/>
            <w:vAlign w:val="center"/>
            <w:hideMark/>
          </w:tcPr>
          <w:p w14:paraId="00B05318" w14:textId="77777777" w:rsidR="005D3CA9" w:rsidRPr="005D3CA9" w:rsidRDefault="005D3CA9" w:rsidP="005D3CA9">
            <w:pPr>
              <w:spacing w:before="0" w:after="0" w:line="240" w:lineRule="auto"/>
              <w:rPr>
                <w:rFonts w:eastAsia="Times New Roman"/>
                <w:b/>
                <w:bCs/>
                <w:color w:val="FFFFFF"/>
                <w:sz w:val="20"/>
                <w:szCs w:val="20"/>
                <w:lang w:val="en-US"/>
              </w:rPr>
            </w:pPr>
            <w:r w:rsidRPr="005D3CA9">
              <w:rPr>
                <w:rFonts w:eastAsia="Times New Roman"/>
                <w:b/>
                <w:bCs/>
                <w:color w:val="FFFFFF"/>
                <w:sz w:val="20"/>
                <w:szCs w:val="20"/>
                <w:lang w:val="en-US"/>
              </w:rPr>
              <w:t>Plan Name</w:t>
            </w:r>
          </w:p>
        </w:tc>
        <w:tc>
          <w:tcPr>
            <w:tcW w:w="2790" w:type="dxa"/>
            <w:shd w:val="clear" w:color="000000" w:fill="263692"/>
            <w:vAlign w:val="center"/>
            <w:hideMark/>
          </w:tcPr>
          <w:p w14:paraId="07708050" w14:textId="77777777" w:rsidR="005D3CA9" w:rsidRPr="005D3CA9" w:rsidRDefault="005D3CA9" w:rsidP="005D3CA9">
            <w:pPr>
              <w:spacing w:before="0" w:after="0" w:line="240" w:lineRule="auto"/>
              <w:rPr>
                <w:rFonts w:eastAsia="Times New Roman"/>
                <w:b/>
                <w:bCs/>
                <w:color w:val="FFFFFF"/>
                <w:sz w:val="20"/>
                <w:szCs w:val="20"/>
                <w:lang w:val="en-US"/>
              </w:rPr>
            </w:pPr>
            <w:r w:rsidRPr="005D3CA9">
              <w:rPr>
                <w:rFonts w:eastAsia="Times New Roman"/>
                <w:b/>
                <w:bCs/>
                <w:color w:val="FFFFFF"/>
                <w:sz w:val="20"/>
                <w:szCs w:val="20"/>
                <w:lang w:val="en-US"/>
              </w:rPr>
              <w:t>Description</w:t>
            </w:r>
          </w:p>
        </w:tc>
        <w:tc>
          <w:tcPr>
            <w:tcW w:w="2148" w:type="dxa"/>
            <w:shd w:val="clear" w:color="000000" w:fill="263692"/>
            <w:vAlign w:val="center"/>
            <w:hideMark/>
          </w:tcPr>
          <w:p w14:paraId="01F72036" w14:textId="77777777" w:rsidR="005D3CA9" w:rsidRPr="005D3CA9" w:rsidRDefault="005D3CA9" w:rsidP="005D3CA9">
            <w:pPr>
              <w:spacing w:before="0" w:after="0" w:line="240" w:lineRule="auto"/>
              <w:jc w:val="center"/>
              <w:rPr>
                <w:rFonts w:eastAsia="Times New Roman"/>
                <w:b/>
                <w:bCs/>
                <w:color w:val="FFFFFF"/>
                <w:sz w:val="20"/>
                <w:szCs w:val="20"/>
                <w:lang w:val="en-US"/>
              </w:rPr>
            </w:pPr>
            <w:r w:rsidRPr="005D3CA9">
              <w:rPr>
                <w:rFonts w:eastAsia="Times New Roman"/>
                <w:b/>
                <w:bCs/>
                <w:color w:val="FFFFFF"/>
                <w:sz w:val="20"/>
                <w:szCs w:val="20"/>
                <w:lang w:val="en-US"/>
              </w:rPr>
              <w:t>Dental Supplementation</w:t>
            </w:r>
          </w:p>
        </w:tc>
        <w:tc>
          <w:tcPr>
            <w:tcW w:w="1934" w:type="dxa"/>
            <w:shd w:val="clear" w:color="000000" w:fill="263692"/>
            <w:vAlign w:val="center"/>
            <w:hideMark/>
          </w:tcPr>
          <w:p w14:paraId="009B5781" w14:textId="77777777" w:rsidR="005D3CA9" w:rsidRPr="005D3CA9" w:rsidRDefault="005D3CA9" w:rsidP="005D3CA9">
            <w:pPr>
              <w:spacing w:before="0" w:after="0" w:line="240" w:lineRule="auto"/>
              <w:jc w:val="center"/>
              <w:rPr>
                <w:rFonts w:eastAsia="Times New Roman"/>
                <w:b/>
                <w:bCs/>
                <w:color w:val="FFFFFF"/>
                <w:sz w:val="20"/>
                <w:szCs w:val="20"/>
                <w:lang w:val="en-US"/>
              </w:rPr>
            </w:pPr>
            <w:r w:rsidRPr="005D3CA9">
              <w:rPr>
                <w:rFonts w:eastAsia="Times New Roman"/>
                <w:b/>
                <w:bCs/>
                <w:color w:val="FFFFFF"/>
                <w:sz w:val="20"/>
                <w:szCs w:val="20"/>
                <w:lang w:val="en-US"/>
              </w:rPr>
              <w:t>Vision Supplementation</w:t>
            </w:r>
          </w:p>
        </w:tc>
      </w:tr>
      <w:tr w:rsidR="005D3CA9" w:rsidRPr="005D3CA9" w14:paraId="5B6187DB" w14:textId="77777777" w:rsidTr="00E06409">
        <w:trPr>
          <w:trHeight w:val="244"/>
          <w:jc w:val="center"/>
        </w:trPr>
        <w:tc>
          <w:tcPr>
            <w:tcW w:w="1885" w:type="dxa"/>
            <w:shd w:val="clear" w:color="000000" w:fill="FFFFFF"/>
            <w:vAlign w:val="center"/>
            <w:hideMark/>
          </w:tcPr>
          <w:p w14:paraId="47E7474E" w14:textId="77777777" w:rsidR="005D3CA9" w:rsidRPr="00E06409" w:rsidRDefault="005D3CA9" w:rsidP="005D3CA9">
            <w:pPr>
              <w:spacing w:before="0" w:after="0" w:line="240" w:lineRule="auto"/>
              <w:jc w:val="left"/>
              <w:rPr>
                <w:rFonts w:eastAsia="Times New Roman"/>
                <w:szCs w:val="20"/>
                <w:lang w:val="en-US"/>
              </w:rPr>
            </w:pPr>
            <w:r w:rsidRPr="00E06409">
              <w:rPr>
                <w:rFonts w:eastAsia="Times New Roman"/>
                <w:szCs w:val="20"/>
                <w:lang w:val="en-US"/>
              </w:rPr>
              <w:t>CDHP</w:t>
            </w:r>
          </w:p>
        </w:tc>
        <w:tc>
          <w:tcPr>
            <w:tcW w:w="2790" w:type="dxa"/>
            <w:shd w:val="clear" w:color="000000" w:fill="FFFFFF"/>
            <w:vAlign w:val="center"/>
            <w:hideMark/>
          </w:tcPr>
          <w:p w14:paraId="0EA764D7" w14:textId="77777777" w:rsidR="005D3CA9" w:rsidRPr="00E06409" w:rsidRDefault="005D3CA9" w:rsidP="005D3CA9">
            <w:pPr>
              <w:spacing w:before="0" w:after="0" w:line="240" w:lineRule="auto"/>
              <w:jc w:val="left"/>
              <w:rPr>
                <w:rFonts w:eastAsia="Times New Roman"/>
                <w:szCs w:val="20"/>
                <w:lang w:val="en-US"/>
              </w:rPr>
            </w:pPr>
            <w:r w:rsidRPr="00E06409">
              <w:rPr>
                <w:rFonts w:eastAsia="Times New Roman"/>
                <w:szCs w:val="20"/>
                <w:lang w:val="en-US"/>
              </w:rPr>
              <w:t>Current Benchmark</w:t>
            </w:r>
          </w:p>
        </w:tc>
        <w:tc>
          <w:tcPr>
            <w:tcW w:w="2148" w:type="dxa"/>
            <w:shd w:val="clear" w:color="000000" w:fill="FFFFFF"/>
            <w:vAlign w:val="center"/>
            <w:hideMark/>
          </w:tcPr>
          <w:p w14:paraId="46D435FE"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State CHIP</w:t>
            </w:r>
          </w:p>
        </w:tc>
        <w:tc>
          <w:tcPr>
            <w:tcW w:w="1934" w:type="dxa"/>
            <w:shd w:val="clear" w:color="000000" w:fill="FFFFFF"/>
            <w:vAlign w:val="center"/>
            <w:hideMark/>
          </w:tcPr>
          <w:p w14:paraId="5628195A"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Federal VIP</w:t>
            </w:r>
          </w:p>
        </w:tc>
      </w:tr>
      <w:tr w:rsidR="005D3CA9" w:rsidRPr="005D3CA9" w14:paraId="48A1E979" w14:textId="77777777" w:rsidTr="00E06409">
        <w:trPr>
          <w:trHeight w:val="244"/>
          <w:jc w:val="center"/>
        </w:trPr>
        <w:tc>
          <w:tcPr>
            <w:tcW w:w="1885" w:type="dxa"/>
            <w:shd w:val="clear" w:color="000000" w:fill="FFFFFF"/>
            <w:vAlign w:val="center"/>
            <w:hideMark/>
          </w:tcPr>
          <w:p w14:paraId="47A5C78E" w14:textId="77777777" w:rsidR="005D3CA9" w:rsidRPr="00E06409" w:rsidRDefault="005D3CA9" w:rsidP="005D3CA9">
            <w:pPr>
              <w:spacing w:before="0" w:after="0" w:line="240" w:lineRule="auto"/>
              <w:jc w:val="left"/>
              <w:rPr>
                <w:rFonts w:eastAsia="Times New Roman"/>
                <w:szCs w:val="20"/>
                <w:lang w:val="en-US"/>
              </w:rPr>
            </w:pPr>
            <w:r w:rsidRPr="00E06409">
              <w:rPr>
                <w:rFonts w:eastAsia="Times New Roman"/>
                <w:szCs w:val="20"/>
                <w:lang w:val="en-US"/>
              </w:rPr>
              <w:t>Plan J</w:t>
            </w:r>
          </w:p>
        </w:tc>
        <w:tc>
          <w:tcPr>
            <w:tcW w:w="2790" w:type="dxa"/>
            <w:shd w:val="clear" w:color="000000" w:fill="FFFFFF"/>
            <w:vAlign w:val="center"/>
            <w:hideMark/>
          </w:tcPr>
          <w:p w14:paraId="3DE57B1D" w14:textId="77777777" w:rsidR="005D3CA9" w:rsidRPr="00E06409" w:rsidRDefault="005D3CA9" w:rsidP="005D3CA9">
            <w:pPr>
              <w:spacing w:before="0" w:after="0" w:line="240" w:lineRule="auto"/>
              <w:jc w:val="left"/>
              <w:rPr>
                <w:rFonts w:eastAsia="Times New Roman"/>
                <w:szCs w:val="20"/>
                <w:lang w:val="en-US"/>
              </w:rPr>
            </w:pPr>
            <w:r w:rsidRPr="00E06409">
              <w:rPr>
                <w:rFonts w:eastAsia="Times New Roman"/>
                <w:szCs w:val="20"/>
                <w:lang w:val="en-US"/>
              </w:rPr>
              <w:t>Typicality Comparison</w:t>
            </w:r>
          </w:p>
        </w:tc>
        <w:tc>
          <w:tcPr>
            <w:tcW w:w="2148" w:type="dxa"/>
            <w:shd w:val="clear" w:color="000000" w:fill="FFFFFF"/>
            <w:vAlign w:val="center"/>
            <w:hideMark/>
          </w:tcPr>
          <w:p w14:paraId="27B0C9EC"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State CHIP</w:t>
            </w:r>
          </w:p>
        </w:tc>
        <w:tc>
          <w:tcPr>
            <w:tcW w:w="1934" w:type="dxa"/>
            <w:shd w:val="clear" w:color="000000" w:fill="FFFFFF"/>
            <w:vAlign w:val="center"/>
            <w:hideMark/>
          </w:tcPr>
          <w:p w14:paraId="443F3A07"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State CHIP</w:t>
            </w:r>
          </w:p>
        </w:tc>
      </w:tr>
      <w:tr w:rsidR="005D3CA9" w:rsidRPr="005D3CA9" w14:paraId="7AD7BD38" w14:textId="77777777" w:rsidTr="00E06409">
        <w:trPr>
          <w:trHeight w:val="244"/>
          <w:jc w:val="center"/>
        </w:trPr>
        <w:tc>
          <w:tcPr>
            <w:tcW w:w="1885" w:type="dxa"/>
            <w:shd w:val="clear" w:color="000000" w:fill="FFFFFF"/>
            <w:vAlign w:val="center"/>
            <w:hideMark/>
          </w:tcPr>
          <w:p w14:paraId="06869303" w14:textId="55990BD3" w:rsidR="005D3CA9" w:rsidRPr="00E06409" w:rsidRDefault="004F713E" w:rsidP="005D3CA9">
            <w:pPr>
              <w:spacing w:before="0" w:after="0" w:line="240" w:lineRule="auto"/>
              <w:jc w:val="left"/>
              <w:rPr>
                <w:rFonts w:eastAsia="Times New Roman"/>
                <w:szCs w:val="20"/>
                <w:lang w:val="en-US"/>
              </w:rPr>
            </w:pPr>
            <w:proofErr w:type="spellStart"/>
            <w:r w:rsidRPr="00E06409">
              <w:rPr>
                <w:rFonts w:eastAsia="Times New Roman"/>
                <w:szCs w:val="20"/>
                <w:lang w:val="en-US"/>
              </w:rPr>
              <w:t>Total</w:t>
            </w:r>
            <w:r w:rsidR="005D3CA9" w:rsidRPr="00E06409">
              <w:rPr>
                <w:rFonts w:eastAsia="Times New Roman"/>
                <w:szCs w:val="20"/>
                <w:lang w:val="en-US"/>
              </w:rPr>
              <w:t>Choice</w:t>
            </w:r>
            <w:proofErr w:type="spellEnd"/>
          </w:p>
        </w:tc>
        <w:tc>
          <w:tcPr>
            <w:tcW w:w="2790" w:type="dxa"/>
            <w:shd w:val="clear" w:color="000000" w:fill="FFFFFF"/>
            <w:vAlign w:val="center"/>
            <w:hideMark/>
          </w:tcPr>
          <w:p w14:paraId="73C29B93" w14:textId="77777777" w:rsidR="005D3CA9" w:rsidRPr="00E06409" w:rsidRDefault="005D3CA9" w:rsidP="005D3CA9">
            <w:pPr>
              <w:spacing w:before="0" w:after="0" w:line="240" w:lineRule="auto"/>
              <w:jc w:val="left"/>
              <w:rPr>
                <w:rFonts w:eastAsia="Times New Roman"/>
                <w:szCs w:val="20"/>
                <w:lang w:val="en-US"/>
              </w:rPr>
            </w:pPr>
            <w:r w:rsidRPr="00E06409">
              <w:rPr>
                <w:rFonts w:eastAsia="Times New Roman"/>
                <w:szCs w:val="20"/>
                <w:lang w:val="en-US"/>
              </w:rPr>
              <w:t>Generosity Comparison</w:t>
            </w:r>
          </w:p>
        </w:tc>
        <w:tc>
          <w:tcPr>
            <w:tcW w:w="2148" w:type="dxa"/>
            <w:shd w:val="clear" w:color="000000" w:fill="FFFFFF"/>
            <w:vAlign w:val="center"/>
            <w:hideMark/>
          </w:tcPr>
          <w:p w14:paraId="0BD74D2B"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State CHIP</w:t>
            </w:r>
          </w:p>
        </w:tc>
        <w:tc>
          <w:tcPr>
            <w:tcW w:w="1934" w:type="dxa"/>
            <w:shd w:val="clear" w:color="000000" w:fill="FFFFFF"/>
            <w:vAlign w:val="center"/>
            <w:hideMark/>
          </w:tcPr>
          <w:p w14:paraId="5DB81A59" w14:textId="77777777" w:rsidR="005D3CA9" w:rsidRPr="00E06409" w:rsidRDefault="005D3CA9" w:rsidP="005D3CA9">
            <w:pPr>
              <w:spacing w:before="0" w:after="0" w:line="240" w:lineRule="auto"/>
              <w:jc w:val="center"/>
              <w:rPr>
                <w:rFonts w:eastAsia="Times New Roman"/>
                <w:szCs w:val="20"/>
                <w:lang w:val="en-US"/>
              </w:rPr>
            </w:pPr>
            <w:r w:rsidRPr="00E06409">
              <w:rPr>
                <w:rFonts w:eastAsia="Times New Roman"/>
                <w:szCs w:val="20"/>
                <w:lang w:val="en-US"/>
              </w:rPr>
              <w:t>Federal VIP</w:t>
            </w:r>
          </w:p>
        </w:tc>
      </w:tr>
    </w:tbl>
    <w:p w14:paraId="5AED6507" w14:textId="5D5054DD" w:rsidR="00BC3F2D" w:rsidRDefault="001A2849" w:rsidP="00805881">
      <w:pPr>
        <w:spacing w:before="200" w:after="0"/>
      </w:pPr>
      <w:r>
        <w:t xml:space="preserve">The primary differences between the </w:t>
      </w:r>
      <w:r w:rsidR="00E91D15">
        <w:t xml:space="preserve">current </w:t>
      </w:r>
      <w:r>
        <w:t xml:space="preserve">benchmark, </w:t>
      </w:r>
      <w:r w:rsidR="0099370F">
        <w:t>Plan J</w:t>
      </w:r>
      <w:r>
        <w:t xml:space="preserve">, and the </w:t>
      </w:r>
      <w:proofErr w:type="spellStart"/>
      <w:r w:rsidR="003B5C2A">
        <w:t>TotalChoice</w:t>
      </w:r>
      <w:proofErr w:type="spellEnd"/>
      <w:r w:rsidR="003B5C2A">
        <w:t xml:space="preserve"> </w:t>
      </w:r>
      <w:r>
        <w:t xml:space="preserve">plan (the current benchmark, typicality comparison plan, and generosity comparison plan respectively) are as follows: </w:t>
      </w:r>
    </w:p>
    <w:p w14:paraId="6049926F" w14:textId="66FFA5F7" w:rsidR="00BC3F2D" w:rsidRPr="00BB79BF" w:rsidRDefault="001A2849" w:rsidP="00805881">
      <w:pPr>
        <w:keepNext/>
        <w:keepLines/>
        <w:spacing w:before="200" w:after="0"/>
        <w:jc w:val="center"/>
        <w:rPr>
          <w:b/>
        </w:rPr>
      </w:pPr>
      <w:r w:rsidRPr="00BB79BF">
        <w:rPr>
          <w:b/>
        </w:rPr>
        <w:lastRenderedPageBreak/>
        <w:t xml:space="preserve">Table </w:t>
      </w:r>
      <w:r w:rsidR="005D3CA9">
        <w:rPr>
          <w:b/>
        </w:rPr>
        <w:t>3</w:t>
      </w:r>
      <w:r w:rsidRPr="00BB79BF">
        <w:rPr>
          <w:b/>
        </w:rPr>
        <w:t>: Benefit Comparison – Current Benchmark and Comparison Plans</w:t>
      </w:r>
    </w:p>
    <w:tbl>
      <w:tblPr>
        <w:tblW w:w="9350" w:type="dxa"/>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Layout w:type="fixed"/>
        <w:tblCellMar>
          <w:left w:w="115" w:type="dxa"/>
          <w:right w:w="115" w:type="dxa"/>
        </w:tblCellMar>
        <w:tblLook w:val="0400" w:firstRow="0" w:lastRow="0" w:firstColumn="0" w:lastColumn="0" w:noHBand="0" w:noVBand="1"/>
      </w:tblPr>
      <w:tblGrid>
        <w:gridCol w:w="2065"/>
        <w:gridCol w:w="2325"/>
        <w:gridCol w:w="2445"/>
        <w:gridCol w:w="2515"/>
      </w:tblGrid>
      <w:tr w:rsidR="00A04AC8" w:rsidRPr="006628D8" w14:paraId="2AA10F18" w14:textId="77777777" w:rsidTr="0038312D">
        <w:trPr>
          <w:trHeight w:val="289"/>
          <w:tblHeader/>
        </w:trPr>
        <w:tc>
          <w:tcPr>
            <w:tcW w:w="2065" w:type="dxa"/>
            <w:shd w:val="clear" w:color="auto" w:fill="263692"/>
            <w:vAlign w:val="center"/>
          </w:tcPr>
          <w:p w14:paraId="0183A4D0" w14:textId="17AFF581" w:rsidR="00A04AC8" w:rsidRPr="006628D8" w:rsidRDefault="00F41A4C" w:rsidP="006F1136">
            <w:pPr>
              <w:keepNext/>
              <w:keepLines/>
              <w:spacing w:before="0" w:after="0" w:line="240" w:lineRule="auto"/>
              <w:rPr>
                <w:b/>
                <w:color w:val="FFFFFF"/>
                <w:sz w:val="20"/>
                <w:szCs w:val="20"/>
              </w:rPr>
            </w:pPr>
            <w:r>
              <w:rPr>
                <w:b/>
                <w:bCs/>
                <w:color w:val="FFFFFF"/>
                <w:sz w:val="20"/>
                <w:szCs w:val="20"/>
              </w:rPr>
              <w:t>Plan Name</w:t>
            </w:r>
          </w:p>
        </w:tc>
        <w:tc>
          <w:tcPr>
            <w:tcW w:w="2325" w:type="dxa"/>
            <w:shd w:val="clear" w:color="auto" w:fill="263692"/>
            <w:vAlign w:val="center"/>
          </w:tcPr>
          <w:p w14:paraId="32567609" w14:textId="6CCB7431" w:rsidR="00A04AC8" w:rsidRPr="006628D8" w:rsidRDefault="003B5C2A" w:rsidP="006F1136">
            <w:pPr>
              <w:keepNext/>
              <w:keepLines/>
              <w:spacing w:before="0" w:after="0" w:line="240" w:lineRule="auto"/>
              <w:jc w:val="center"/>
              <w:rPr>
                <w:b/>
                <w:color w:val="FFFFFF"/>
                <w:sz w:val="20"/>
                <w:szCs w:val="20"/>
              </w:rPr>
            </w:pPr>
            <w:r>
              <w:rPr>
                <w:b/>
                <w:bCs/>
                <w:color w:val="FFFFFF"/>
                <w:sz w:val="20"/>
                <w:szCs w:val="20"/>
              </w:rPr>
              <w:t>CDHP</w:t>
            </w:r>
          </w:p>
        </w:tc>
        <w:tc>
          <w:tcPr>
            <w:tcW w:w="2445" w:type="dxa"/>
            <w:shd w:val="clear" w:color="auto" w:fill="263692"/>
            <w:vAlign w:val="center"/>
          </w:tcPr>
          <w:p w14:paraId="39FB1322" w14:textId="3D956FFB" w:rsidR="00A04AC8" w:rsidRPr="006628D8" w:rsidRDefault="003B5C2A" w:rsidP="006F1136">
            <w:pPr>
              <w:keepNext/>
              <w:keepLines/>
              <w:spacing w:before="0" w:after="0" w:line="240" w:lineRule="auto"/>
              <w:jc w:val="center"/>
              <w:rPr>
                <w:b/>
                <w:color w:val="FFFFFF"/>
                <w:sz w:val="20"/>
                <w:szCs w:val="20"/>
              </w:rPr>
            </w:pPr>
            <w:r>
              <w:rPr>
                <w:b/>
                <w:bCs/>
                <w:color w:val="FFFFFF"/>
                <w:sz w:val="20"/>
                <w:szCs w:val="20"/>
              </w:rPr>
              <w:t>Plan J</w:t>
            </w:r>
          </w:p>
        </w:tc>
        <w:tc>
          <w:tcPr>
            <w:tcW w:w="2515" w:type="dxa"/>
            <w:shd w:val="clear" w:color="auto" w:fill="263692"/>
            <w:vAlign w:val="center"/>
          </w:tcPr>
          <w:p w14:paraId="7019D8DA" w14:textId="237AA208" w:rsidR="00A04AC8" w:rsidRPr="006628D8" w:rsidRDefault="003B5C2A" w:rsidP="006F1136">
            <w:pPr>
              <w:keepNext/>
              <w:keepLines/>
              <w:spacing w:before="0" w:after="0" w:line="240" w:lineRule="auto"/>
              <w:jc w:val="center"/>
              <w:rPr>
                <w:b/>
                <w:color w:val="FFFFFF"/>
                <w:sz w:val="20"/>
                <w:szCs w:val="20"/>
              </w:rPr>
            </w:pPr>
            <w:proofErr w:type="spellStart"/>
            <w:r>
              <w:rPr>
                <w:b/>
                <w:bCs/>
                <w:color w:val="FFFFFF"/>
                <w:sz w:val="20"/>
                <w:szCs w:val="20"/>
              </w:rPr>
              <w:t>TotalChoice</w:t>
            </w:r>
            <w:proofErr w:type="spellEnd"/>
          </w:p>
        </w:tc>
      </w:tr>
      <w:tr w:rsidR="00F41A4C" w:rsidRPr="006628D8" w14:paraId="63AAF5D6" w14:textId="77777777" w:rsidTr="0038312D">
        <w:trPr>
          <w:trHeight w:val="289"/>
          <w:tblHeader/>
        </w:trPr>
        <w:tc>
          <w:tcPr>
            <w:tcW w:w="2065" w:type="dxa"/>
            <w:shd w:val="clear" w:color="auto" w:fill="263692"/>
            <w:vAlign w:val="center"/>
          </w:tcPr>
          <w:p w14:paraId="1D55B1CB" w14:textId="1DC19C03" w:rsidR="00F41A4C" w:rsidRPr="006628D8" w:rsidRDefault="00F41A4C" w:rsidP="006F1136">
            <w:pPr>
              <w:keepNext/>
              <w:keepLines/>
              <w:spacing w:before="0" w:after="0" w:line="240" w:lineRule="auto"/>
              <w:rPr>
                <w:b/>
                <w:color w:val="FFFFFF"/>
                <w:sz w:val="20"/>
                <w:szCs w:val="20"/>
              </w:rPr>
            </w:pPr>
            <w:r>
              <w:rPr>
                <w:b/>
                <w:bCs/>
                <w:color w:val="FFFFFF"/>
                <w:sz w:val="20"/>
                <w:szCs w:val="20"/>
              </w:rPr>
              <w:t>Description</w:t>
            </w:r>
          </w:p>
        </w:tc>
        <w:tc>
          <w:tcPr>
            <w:tcW w:w="2325" w:type="dxa"/>
            <w:shd w:val="clear" w:color="auto" w:fill="263692"/>
            <w:vAlign w:val="center"/>
          </w:tcPr>
          <w:p w14:paraId="7B927FDA" w14:textId="77777777" w:rsidR="00F41A4C" w:rsidRPr="006628D8" w:rsidRDefault="00F41A4C" w:rsidP="006F1136">
            <w:pPr>
              <w:keepNext/>
              <w:keepLines/>
              <w:spacing w:before="0" w:after="0" w:line="240" w:lineRule="auto"/>
              <w:jc w:val="center"/>
              <w:rPr>
                <w:b/>
                <w:color w:val="FFFFFF"/>
                <w:sz w:val="20"/>
                <w:szCs w:val="20"/>
              </w:rPr>
            </w:pPr>
            <w:r>
              <w:rPr>
                <w:b/>
                <w:bCs/>
                <w:color w:val="FFFFFF"/>
                <w:sz w:val="20"/>
                <w:szCs w:val="20"/>
              </w:rPr>
              <w:t>Current Benchmark</w:t>
            </w:r>
          </w:p>
        </w:tc>
        <w:tc>
          <w:tcPr>
            <w:tcW w:w="2445" w:type="dxa"/>
            <w:shd w:val="clear" w:color="auto" w:fill="263692"/>
            <w:vAlign w:val="center"/>
          </w:tcPr>
          <w:p w14:paraId="3E3FB67F" w14:textId="77777777" w:rsidR="00F41A4C" w:rsidRPr="006628D8" w:rsidRDefault="00F41A4C" w:rsidP="006F1136">
            <w:pPr>
              <w:keepNext/>
              <w:keepLines/>
              <w:spacing w:before="0" w:after="0" w:line="240" w:lineRule="auto"/>
              <w:jc w:val="center"/>
              <w:rPr>
                <w:b/>
                <w:color w:val="FFFFFF"/>
                <w:sz w:val="20"/>
                <w:szCs w:val="20"/>
              </w:rPr>
            </w:pPr>
            <w:r>
              <w:rPr>
                <w:b/>
                <w:bCs/>
                <w:color w:val="FFFFFF"/>
                <w:sz w:val="20"/>
                <w:szCs w:val="20"/>
              </w:rPr>
              <w:t>Typicality Comparison</w:t>
            </w:r>
          </w:p>
        </w:tc>
        <w:tc>
          <w:tcPr>
            <w:tcW w:w="2515" w:type="dxa"/>
            <w:shd w:val="clear" w:color="auto" w:fill="263692"/>
            <w:vAlign w:val="center"/>
          </w:tcPr>
          <w:p w14:paraId="2D48F9FC" w14:textId="77777777" w:rsidR="00F41A4C" w:rsidRPr="006628D8" w:rsidRDefault="00F41A4C" w:rsidP="006F1136">
            <w:pPr>
              <w:keepNext/>
              <w:keepLines/>
              <w:spacing w:before="0" w:after="0" w:line="240" w:lineRule="auto"/>
              <w:jc w:val="center"/>
              <w:rPr>
                <w:b/>
                <w:color w:val="FFFFFF"/>
                <w:sz w:val="20"/>
                <w:szCs w:val="20"/>
              </w:rPr>
            </w:pPr>
            <w:r>
              <w:rPr>
                <w:b/>
                <w:bCs/>
                <w:color w:val="FFFFFF"/>
                <w:sz w:val="20"/>
                <w:szCs w:val="20"/>
              </w:rPr>
              <w:t>Generosity Comparison</w:t>
            </w:r>
          </w:p>
        </w:tc>
      </w:tr>
      <w:tr w:rsidR="00A04AC8" w:rsidRPr="006628D8" w14:paraId="5AFF31BF" w14:textId="77777777" w:rsidTr="0038312D">
        <w:trPr>
          <w:trHeight w:val="289"/>
        </w:trPr>
        <w:tc>
          <w:tcPr>
            <w:tcW w:w="2065" w:type="dxa"/>
            <w:shd w:val="clear" w:color="auto" w:fill="FFFFFF"/>
            <w:vAlign w:val="center"/>
          </w:tcPr>
          <w:p w14:paraId="1837FDCC" w14:textId="70D83464" w:rsidR="00A04AC8" w:rsidRPr="00805881" w:rsidRDefault="00A04AC8" w:rsidP="006F1136">
            <w:pPr>
              <w:keepNext/>
              <w:keepLines/>
              <w:spacing w:before="0" w:after="0" w:line="240" w:lineRule="auto"/>
              <w:jc w:val="left"/>
              <w:rPr>
                <w:szCs w:val="20"/>
              </w:rPr>
            </w:pPr>
            <w:r w:rsidRPr="00805881">
              <w:rPr>
                <w:szCs w:val="20"/>
              </w:rPr>
              <w:t>Acupuncture</w:t>
            </w:r>
          </w:p>
        </w:tc>
        <w:tc>
          <w:tcPr>
            <w:tcW w:w="2325" w:type="dxa"/>
            <w:shd w:val="clear" w:color="auto" w:fill="FFFFFF"/>
            <w:vAlign w:val="center"/>
          </w:tcPr>
          <w:p w14:paraId="37103F4C" w14:textId="145B890D" w:rsidR="00A04AC8" w:rsidRPr="00805881" w:rsidRDefault="00A04AC8" w:rsidP="006F1136">
            <w:pPr>
              <w:keepNext/>
              <w:keepLines/>
              <w:spacing w:before="0" w:after="0" w:line="240" w:lineRule="auto"/>
              <w:jc w:val="center"/>
              <w:rPr>
                <w:color w:val="000000"/>
                <w:szCs w:val="20"/>
              </w:rPr>
            </w:pPr>
            <w:r w:rsidRPr="00805881">
              <w:rPr>
                <w:color w:val="000000"/>
                <w:szCs w:val="20"/>
              </w:rPr>
              <w:t>No coverage</w:t>
            </w:r>
          </w:p>
        </w:tc>
        <w:tc>
          <w:tcPr>
            <w:tcW w:w="2445" w:type="dxa"/>
            <w:shd w:val="clear" w:color="auto" w:fill="FFFFFF"/>
            <w:vAlign w:val="center"/>
          </w:tcPr>
          <w:p w14:paraId="05590554" w14:textId="2B94C759" w:rsidR="00A04AC8" w:rsidRPr="00805881" w:rsidRDefault="00A04AC8" w:rsidP="006F1136">
            <w:pPr>
              <w:keepNext/>
              <w:keepLines/>
              <w:spacing w:before="0" w:after="0" w:line="240" w:lineRule="auto"/>
              <w:jc w:val="center"/>
              <w:rPr>
                <w:color w:val="000000"/>
                <w:szCs w:val="20"/>
              </w:rPr>
            </w:pPr>
            <w:r w:rsidRPr="00805881">
              <w:rPr>
                <w:color w:val="000000"/>
                <w:szCs w:val="20"/>
              </w:rPr>
              <w:t>No coverage</w:t>
            </w:r>
          </w:p>
        </w:tc>
        <w:tc>
          <w:tcPr>
            <w:tcW w:w="2515" w:type="dxa"/>
            <w:shd w:val="clear" w:color="auto" w:fill="FFFFFF"/>
            <w:vAlign w:val="center"/>
          </w:tcPr>
          <w:p w14:paraId="432E1C44" w14:textId="2837697C" w:rsidR="00A04AC8" w:rsidRPr="00805881" w:rsidRDefault="00A04AC8" w:rsidP="006F1136">
            <w:pPr>
              <w:keepNext/>
              <w:keepLines/>
              <w:spacing w:before="0" w:after="0" w:line="240" w:lineRule="auto"/>
              <w:jc w:val="center"/>
              <w:rPr>
                <w:color w:val="000000"/>
                <w:szCs w:val="20"/>
              </w:rPr>
            </w:pPr>
            <w:r w:rsidRPr="00805881">
              <w:rPr>
                <w:szCs w:val="20"/>
              </w:rPr>
              <w:t>Covers up to 20 visits/year</w:t>
            </w:r>
          </w:p>
        </w:tc>
      </w:tr>
      <w:tr w:rsidR="00A04AC8" w:rsidRPr="006628D8" w14:paraId="62C85A74" w14:textId="77777777" w:rsidTr="0038312D">
        <w:trPr>
          <w:trHeight w:val="289"/>
        </w:trPr>
        <w:tc>
          <w:tcPr>
            <w:tcW w:w="2065" w:type="dxa"/>
            <w:shd w:val="clear" w:color="auto" w:fill="FFFFFF"/>
            <w:vAlign w:val="center"/>
          </w:tcPr>
          <w:p w14:paraId="401741EF" w14:textId="0BFABCC8" w:rsidR="00A04AC8" w:rsidRPr="00805881" w:rsidRDefault="00A04AC8" w:rsidP="006F1136">
            <w:pPr>
              <w:keepNext/>
              <w:keepLines/>
              <w:spacing w:before="0" w:after="0" w:line="240" w:lineRule="auto"/>
              <w:jc w:val="left"/>
              <w:rPr>
                <w:szCs w:val="20"/>
              </w:rPr>
            </w:pPr>
            <w:r w:rsidRPr="00805881">
              <w:rPr>
                <w:szCs w:val="20"/>
              </w:rPr>
              <w:t>Chiropractic</w:t>
            </w:r>
          </w:p>
        </w:tc>
        <w:tc>
          <w:tcPr>
            <w:tcW w:w="2325" w:type="dxa"/>
            <w:shd w:val="clear" w:color="auto" w:fill="FFFFFF"/>
            <w:vAlign w:val="center"/>
          </w:tcPr>
          <w:p w14:paraId="574950BA" w14:textId="7513F451" w:rsidR="00A04AC8" w:rsidRPr="00805881" w:rsidRDefault="00A04AC8" w:rsidP="006F1136">
            <w:pPr>
              <w:keepNext/>
              <w:keepLines/>
              <w:spacing w:before="0" w:after="0" w:line="240" w:lineRule="auto"/>
              <w:jc w:val="center"/>
              <w:rPr>
                <w:color w:val="000000"/>
                <w:szCs w:val="20"/>
              </w:rPr>
            </w:pPr>
            <w:r w:rsidRPr="00805881">
              <w:rPr>
                <w:color w:val="000000"/>
                <w:szCs w:val="20"/>
              </w:rPr>
              <w:t xml:space="preserve">Covers up to 12 visits/year </w:t>
            </w:r>
          </w:p>
        </w:tc>
        <w:tc>
          <w:tcPr>
            <w:tcW w:w="2445" w:type="dxa"/>
            <w:shd w:val="clear" w:color="auto" w:fill="FFFFFF"/>
            <w:vAlign w:val="center"/>
          </w:tcPr>
          <w:p w14:paraId="32AAE6C8" w14:textId="192EE11F" w:rsidR="00A04AC8" w:rsidRPr="00805881" w:rsidRDefault="00A04AC8" w:rsidP="006F1136">
            <w:pPr>
              <w:keepNext/>
              <w:keepLines/>
              <w:spacing w:before="0" w:after="0" w:line="240" w:lineRule="auto"/>
              <w:jc w:val="center"/>
              <w:rPr>
                <w:color w:val="000000"/>
                <w:szCs w:val="20"/>
              </w:rPr>
            </w:pPr>
            <w:r w:rsidRPr="00805881">
              <w:rPr>
                <w:color w:val="000000"/>
                <w:szCs w:val="20"/>
              </w:rPr>
              <w:t xml:space="preserve">Covers up to 12 visits/year </w:t>
            </w:r>
          </w:p>
        </w:tc>
        <w:tc>
          <w:tcPr>
            <w:tcW w:w="2515" w:type="dxa"/>
            <w:shd w:val="clear" w:color="auto" w:fill="FFFFFF"/>
            <w:vAlign w:val="center"/>
          </w:tcPr>
          <w:p w14:paraId="6164601E" w14:textId="68411223" w:rsidR="00A04AC8" w:rsidRPr="00805881" w:rsidRDefault="00A04AC8" w:rsidP="006F1136">
            <w:pPr>
              <w:keepNext/>
              <w:keepLines/>
              <w:spacing w:before="0" w:after="0" w:line="240" w:lineRule="auto"/>
              <w:jc w:val="center"/>
              <w:rPr>
                <w:color w:val="000000"/>
                <w:szCs w:val="20"/>
              </w:rPr>
            </w:pPr>
            <w:r w:rsidRPr="00805881">
              <w:rPr>
                <w:color w:val="000000"/>
                <w:szCs w:val="20"/>
              </w:rPr>
              <w:t>Covers up to 60 visits/year</w:t>
            </w:r>
            <w:r w:rsidR="00295B48" w:rsidRPr="00805881">
              <w:rPr>
                <w:color w:val="000000"/>
                <w:szCs w:val="20"/>
              </w:rPr>
              <w:t xml:space="preserve"> combined with PT, OT, and ST</w:t>
            </w:r>
          </w:p>
        </w:tc>
      </w:tr>
      <w:tr w:rsidR="00EB4913" w:rsidRPr="006628D8" w14:paraId="018F75B1" w14:textId="77777777" w:rsidTr="0038312D">
        <w:trPr>
          <w:trHeight w:val="532"/>
        </w:trPr>
        <w:tc>
          <w:tcPr>
            <w:tcW w:w="2065" w:type="dxa"/>
            <w:shd w:val="clear" w:color="auto" w:fill="FFFFFF"/>
            <w:vAlign w:val="center"/>
          </w:tcPr>
          <w:p w14:paraId="5A895E11" w14:textId="41641C2E" w:rsidR="00EB4913" w:rsidRPr="00805881" w:rsidRDefault="00EB4913" w:rsidP="006F1136">
            <w:pPr>
              <w:keepNext/>
              <w:keepLines/>
              <w:spacing w:before="0" w:after="0" w:line="240" w:lineRule="auto"/>
              <w:jc w:val="left"/>
              <w:rPr>
                <w:szCs w:val="20"/>
              </w:rPr>
            </w:pPr>
            <w:r w:rsidRPr="00805881">
              <w:rPr>
                <w:szCs w:val="20"/>
              </w:rPr>
              <w:t>Pediatric Vision (differences relative to current BMP)</w:t>
            </w:r>
          </w:p>
        </w:tc>
        <w:tc>
          <w:tcPr>
            <w:tcW w:w="2325" w:type="dxa"/>
            <w:shd w:val="clear" w:color="auto" w:fill="FFFFFF"/>
            <w:vAlign w:val="center"/>
          </w:tcPr>
          <w:p w14:paraId="62EA971A" w14:textId="761EB757" w:rsidR="00EB4913" w:rsidRPr="00805881" w:rsidRDefault="00D410DB" w:rsidP="006F1136">
            <w:pPr>
              <w:keepNext/>
              <w:keepLines/>
              <w:spacing w:before="0" w:after="0" w:line="240" w:lineRule="auto"/>
              <w:jc w:val="center"/>
              <w:rPr>
                <w:color w:val="000000"/>
                <w:szCs w:val="20"/>
              </w:rPr>
            </w:pPr>
            <w:r w:rsidRPr="00805881">
              <w:rPr>
                <w:color w:val="000000"/>
                <w:szCs w:val="20"/>
              </w:rPr>
              <w:t>Covered</w:t>
            </w:r>
          </w:p>
        </w:tc>
        <w:tc>
          <w:tcPr>
            <w:tcW w:w="2445" w:type="dxa"/>
            <w:shd w:val="clear" w:color="auto" w:fill="auto"/>
            <w:vAlign w:val="center"/>
          </w:tcPr>
          <w:p w14:paraId="5CB3B3FC" w14:textId="1E70599B" w:rsidR="00EB4913" w:rsidRPr="00805881" w:rsidRDefault="00E43A71" w:rsidP="006F1136">
            <w:pPr>
              <w:keepNext/>
              <w:keepLines/>
              <w:spacing w:before="0" w:after="0" w:line="240" w:lineRule="auto"/>
              <w:jc w:val="center"/>
              <w:rPr>
                <w:color w:val="000000"/>
                <w:szCs w:val="20"/>
              </w:rPr>
            </w:pPr>
            <w:r w:rsidRPr="00805881">
              <w:rPr>
                <w:color w:val="000000"/>
                <w:szCs w:val="20"/>
              </w:rPr>
              <w:t>Lens</w:t>
            </w:r>
            <w:r w:rsidR="00D26CCC" w:rsidRPr="00805881">
              <w:rPr>
                <w:color w:val="000000"/>
                <w:szCs w:val="20"/>
              </w:rPr>
              <w:t>es</w:t>
            </w:r>
            <w:r w:rsidRPr="00805881">
              <w:rPr>
                <w:color w:val="000000"/>
                <w:szCs w:val="20"/>
              </w:rPr>
              <w:t xml:space="preserve"> every 2 years</w:t>
            </w:r>
            <w:r w:rsidR="00D26CCC" w:rsidRPr="00805881">
              <w:rPr>
                <w:color w:val="000000"/>
                <w:szCs w:val="20"/>
              </w:rPr>
              <w:t xml:space="preserve"> for ages 6 and above </w:t>
            </w:r>
            <w:r w:rsidR="00D26CCC" w:rsidRPr="00805881">
              <w:rPr>
                <w:color w:val="000000"/>
                <w:szCs w:val="20"/>
              </w:rPr>
              <w:br/>
              <w:t>(BMP limit is 1 year)</w:t>
            </w:r>
          </w:p>
        </w:tc>
        <w:tc>
          <w:tcPr>
            <w:tcW w:w="2515" w:type="dxa"/>
            <w:shd w:val="clear" w:color="auto" w:fill="FFFFFF"/>
            <w:vAlign w:val="center"/>
          </w:tcPr>
          <w:p w14:paraId="750CA7D4" w14:textId="5908E542" w:rsidR="00EB4913" w:rsidRPr="00805881" w:rsidDel="00295B48" w:rsidRDefault="00D410DB" w:rsidP="006F1136">
            <w:pPr>
              <w:keepNext/>
              <w:keepLines/>
              <w:spacing w:before="0" w:after="0" w:line="240" w:lineRule="auto"/>
              <w:jc w:val="center"/>
              <w:rPr>
                <w:szCs w:val="20"/>
              </w:rPr>
            </w:pPr>
            <w:r w:rsidRPr="00805881">
              <w:rPr>
                <w:szCs w:val="20"/>
              </w:rPr>
              <w:t>Covered</w:t>
            </w:r>
          </w:p>
        </w:tc>
      </w:tr>
      <w:tr w:rsidR="00662BED" w:rsidRPr="006628D8" w14:paraId="5942D7A1" w14:textId="77777777" w:rsidTr="0038312D">
        <w:trPr>
          <w:trHeight w:val="289"/>
        </w:trPr>
        <w:tc>
          <w:tcPr>
            <w:tcW w:w="2065" w:type="dxa"/>
            <w:shd w:val="clear" w:color="auto" w:fill="FFFFFF"/>
            <w:vAlign w:val="center"/>
          </w:tcPr>
          <w:p w14:paraId="24970E96" w14:textId="028333FF" w:rsidR="00662BED" w:rsidRPr="00805881" w:rsidRDefault="00662BED" w:rsidP="00A04AC8">
            <w:pPr>
              <w:spacing w:before="0" w:after="0" w:line="240" w:lineRule="auto"/>
              <w:jc w:val="left"/>
              <w:rPr>
                <w:szCs w:val="20"/>
              </w:rPr>
            </w:pPr>
            <w:r w:rsidRPr="00805881">
              <w:rPr>
                <w:szCs w:val="20"/>
              </w:rPr>
              <w:t>Infertility Treatment</w:t>
            </w:r>
          </w:p>
        </w:tc>
        <w:tc>
          <w:tcPr>
            <w:tcW w:w="2325" w:type="dxa"/>
            <w:shd w:val="clear" w:color="auto" w:fill="FFFFFF"/>
            <w:vAlign w:val="center"/>
          </w:tcPr>
          <w:p w14:paraId="52175EA4" w14:textId="788EDE60" w:rsidR="00662BED" w:rsidRPr="00805881" w:rsidRDefault="006D3D26" w:rsidP="006D3D26">
            <w:pPr>
              <w:spacing w:before="0" w:after="0" w:line="240" w:lineRule="auto"/>
              <w:jc w:val="center"/>
              <w:rPr>
                <w:color w:val="000000"/>
                <w:szCs w:val="20"/>
              </w:rPr>
            </w:pPr>
            <w:r w:rsidRPr="00805881">
              <w:rPr>
                <w:color w:val="000000"/>
                <w:szCs w:val="20"/>
              </w:rPr>
              <w:t>Covers diagnostic testing only</w:t>
            </w:r>
          </w:p>
        </w:tc>
        <w:tc>
          <w:tcPr>
            <w:tcW w:w="2445" w:type="dxa"/>
            <w:shd w:val="clear" w:color="auto" w:fill="FFFFFF"/>
            <w:vAlign w:val="center"/>
          </w:tcPr>
          <w:p w14:paraId="6596A4B9" w14:textId="1BF60D6D" w:rsidR="00662BED" w:rsidRPr="00805881" w:rsidRDefault="006D3D26" w:rsidP="00A04AC8">
            <w:pPr>
              <w:spacing w:before="0" w:after="0" w:line="240" w:lineRule="auto"/>
              <w:jc w:val="center"/>
              <w:rPr>
                <w:color w:val="000000"/>
                <w:szCs w:val="20"/>
              </w:rPr>
            </w:pPr>
            <w:r w:rsidRPr="00805881">
              <w:rPr>
                <w:color w:val="000000"/>
                <w:szCs w:val="20"/>
              </w:rPr>
              <w:t>Covers diagnostic testing only</w:t>
            </w:r>
          </w:p>
        </w:tc>
        <w:tc>
          <w:tcPr>
            <w:tcW w:w="2515" w:type="dxa"/>
            <w:shd w:val="clear" w:color="auto" w:fill="FFFFFF"/>
            <w:vAlign w:val="center"/>
          </w:tcPr>
          <w:p w14:paraId="5F3A43AB" w14:textId="597E6CF0" w:rsidR="00662BED" w:rsidRPr="00805881" w:rsidRDefault="00662BED" w:rsidP="00A04AC8">
            <w:pPr>
              <w:spacing w:before="0" w:after="0" w:line="240" w:lineRule="auto"/>
              <w:jc w:val="center"/>
              <w:rPr>
                <w:color w:val="000000"/>
                <w:szCs w:val="20"/>
              </w:rPr>
            </w:pPr>
            <w:r w:rsidRPr="00805881">
              <w:rPr>
                <w:szCs w:val="20"/>
              </w:rPr>
              <w:t>Covered:</w:t>
            </w:r>
            <w:r w:rsidRPr="00805881">
              <w:rPr>
                <w:szCs w:val="20"/>
              </w:rPr>
              <w:br/>
              <w:t>diagnostic and treatment, including in-vitro fertilization (IVF) procedures</w:t>
            </w:r>
          </w:p>
        </w:tc>
      </w:tr>
      <w:tr w:rsidR="00662BED" w:rsidRPr="006628D8" w14:paraId="16FA2734" w14:textId="77777777" w:rsidTr="0038312D">
        <w:trPr>
          <w:trHeight w:val="289"/>
        </w:trPr>
        <w:tc>
          <w:tcPr>
            <w:tcW w:w="2065" w:type="dxa"/>
            <w:shd w:val="clear" w:color="auto" w:fill="FFFFFF"/>
            <w:vAlign w:val="center"/>
          </w:tcPr>
          <w:p w14:paraId="74571387" w14:textId="0EEA33AC" w:rsidR="00662BED" w:rsidRPr="00805881" w:rsidRDefault="00662BED" w:rsidP="00A04AC8">
            <w:pPr>
              <w:spacing w:before="0" w:after="0" w:line="240" w:lineRule="auto"/>
              <w:jc w:val="left"/>
              <w:rPr>
                <w:szCs w:val="20"/>
              </w:rPr>
            </w:pPr>
            <w:r w:rsidRPr="00805881">
              <w:rPr>
                <w:szCs w:val="20"/>
              </w:rPr>
              <w:t>Lifestyle Drugs</w:t>
            </w:r>
            <w:r w:rsidR="00812357" w:rsidRPr="00805881">
              <w:rPr>
                <w:szCs w:val="20"/>
              </w:rPr>
              <w:t xml:space="preserve"> and Stomach Acid Drugs</w:t>
            </w:r>
            <w:r w:rsidR="00812357" w:rsidRPr="00805881">
              <w:rPr>
                <w:rStyle w:val="FootnoteReference"/>
                <w:szCs w:val="20"/>
              </w:rPr>
              <w:footnoteReference w:id="6"/>
            </w:r>
          </w:p>
        </w:tc>
        <w:tc>
          <w:tcPr>
            <w:tcW w:w="2325" w:type="dxa"/>
            <w:shd w:val="clear" w:color="auto" w:fill="FFFFFF"/>
            <w:vAlign w:val="center"/>
          </w:tcPr>
          <w:p w14:paraId="4B950C4A" w14:textId="321F9EA5" w:rsidR="00662BED" w:rsidRPr="00805881" w:rsidRDefault="00662BED" w:rsidP="00812357">
            <w:pPr>
              <w:spacing w:before="0" w:after="0" w:line="240" w:lineRule="auto"/>
              <w:jc w:val="center"/>
              <w:rPr>
                <w:color w:val="000000"/>
                <w:szCs w:val="20"/>
              </w:rPr>
            </w:pPr>
            <w:r w:rsidRPr="00805881">
              <w:rPr>
                <w:color w:val="000000"/>
                <w:szCs w:val="20"/>
              </w:rPr>
              <w:t xml:space="preserve">No </w:t>
            </w:r>
            <w:r w:rsidR="00812357" w:rsidRPr="00805881">
              <w:rPr>
                <w:color w:val="000000"/>
                <w:szCs w:val="20"/>
              </w:rPr>
              <w:t>Coverage</w:t>
            </w:r>
          </w:p>
        </w:tc>
        <w:tc>
          <w:tcPr>
            <w:tcW w:w="2445" w:type="dxa"/>
            <w:shd w:val="clear" w:color="auto" w:fill="FFFFFF"/>
            <w:vAlign w:val="center"/>
          </w:tcPr>
          <w:p w14:paraId="3005629A" w14:textId="7362BD7B" w:rsidR="00662BED" w:rsidRPr="00805881" w:rsidRDefault="00662BED" w:rsidP="00A04AC8">
            <w:pPr>
              <w:spacing w:before="0" w:after="0" w:line="240" w:lineRule="auto"/>
              <w:jc w:val="center"/>
              <w:rPr>
                <w:color w:val="000000"/>
                <w:szCs w:val="20"/>
              </w:rPr>
            </w:pPr>
            <w:r w:rsidRPr="00805881">
              <w:rPr>
                <w:color w:val="000000"/>
                <w:szCs w:val="20"/>
              </w:rPr>
              <w:t>Covered</w:t>
            </w:r>
          </w:p>
        </w:tc>
        <w:tc>
          <w:tcPr>
            <w:tcW w:w="2515" w:type="dxa"/>
            <w:shd w:val="clear" w:color="auto" w:fill="FFFFFF"/>
            <w:vAlign w:val="center"/>
          </w:tcPr>
          <w:p w14:paraId="59A4811D" w14:textId="454ACC9A" w:rsidR="00662BED" w:rsidRPr="00805881" w:rsidRDefault="00662BED" w:rsidP="00A04AC8">
            <w:pPr>
              <w:spacing w:before="0" w:after="0" w:line="240" w:lineRule="auto"/>
              <w:jc w:val="center"/>
              <w:rPr>
                <w:color w:val="000000"/>
                <w:szCs w:val="20"/>
              </w:rPr>
            </w:pPr>
            <w:r w:rsidRPr="00805881">
              <w:rPr>
                <w:szCs w:val="20"/>
              </w:rPr>
              <w:t>No Coverage</w:t>
            </w:r>
          </w:p>
        </w:tc>
      </w:tr>
      <w:tr w:rsidR="00662BED" w:rsidRPr="006628D8" w14:paraId="087CE159" w14:textId="77777777" w:rsidTr="0038312D">
        <w:trPr>
          <w:trHeight w:val="579"/>
        </w:trPr>
        <w:tc>
          <w:tcPr>
            <w:tcW w:w="2065" w:type="dxa"/>
            <w:shd w:val="clear" w:color="auto" w:fill="FFFFFF"/>
            <w:vAlign w:val="center"/>
          </w:tcPr>
          <w:p w14:paraId="53F4AA67" w14:textId="1E531E1E" w:rsidR="00662BED" w:rsidRPr="00805881" w:rsidRDefault="00662BED" w:rsidP="00A04AC8">
            <w:pPr>
              <w:spacing w:before="0" w:after="0" w:line="240" w:lineRule="auto"/>
              <w:jc w:val="left"/>
              <w:rPr>
                <w:szCs w:val="20"/>
              </w:rPr>
            </w:pPr>
            <w:r w:rsidRPr="00805881">
              <w:rPr>
                <w:szCs w:val="20"/>
              </w:rPr>
              <w:t>Massage therapy</w:t>
            </w:r>
          </w:p>
        </w:tc>
        <w:tc>
          <w:tcPr>
            <w:tcW w:w="2325" w:type="dxa"/>
            <w:shd w:val="clear" w:color="auto" w:fill="FFFFFF"/>
            <w:vAlign w:val="center"/>
          </w:tcPr>
          <w:p w14:paraId="6C3A1046" w14:textId="0EA1905B" w:rsidR="00662BED" w:rsidRPr="00805881" w:rsidRDefault="00662BED" w:rsidP="00A04AC8">
            <w:pPr>
              <w:spacing w:before="0" w:after="0" w:line="240" w:lineRule="auto"/>
              <w:jc w:val="center"/>
              <w:rPr>
                <w:color w:val="000000"/>
                <w:szCs w:val="20"/>
              </w:rPr>
            </w:pPr>
            <w:r w:rsidRPr="00805881">
              <w:rPr>
                <w:color w:val="000000"/>
                <w:szCs w:val="20"/>
              </w:rPr>
              <w:t>No coverage</w:t>
            </w:r>
          </w:p>
        </w:tc>
        <w:tc>
          <w:tcPr>
            <w:tcW w:w="2445" w:type="dxa"/>
            <w:shd w:val="clear" w:color="auto" w:fill="FFFFFF"/>
            <w:vAlign w:val="center"/>
          </w:tcPr>
          <w:p w14:paraId="0A8F4BFD" w14:textId="13E801AE" w:rsidR="00662BED" w:rsidRPr="00805881" w:rsidRDefault="00662BED" w:rsidP="00A04AC8">
            <w:pPr>
              <w:spacing w:before="0" w:after="0" w:line="240" w:lineRule="auto"/>
              <w:jc w:val="center"/>
              <w:rPr>
                <w:color w:val="000000"/>
                <w:szCs w:val="20"/>
              </w:rPr>
            </w:pPr>
            <w:r w:rsidRPr="00805881">
              <w:rPr>
                <w:color w:val="000000"/>
                <w:szCs w:val="20"/>
              </w:rPr>
              <w:t>No coverage</w:t>
            </w:r>
          </w:p>
        </w:tc>
        <w:tc>
          <w:tcPr>
            <w:tcW w:w="2515" w:type="dxa"/>
            <w:shd w:val="clear" w:color="auto" w:fill="FFFFFF"/>
            <w:vAlign w:val="center"/>
          </w:tcPr>
          <w:p w14:paraId="3662D472" w14:textId="6618FF7B" w:rsidR="00662BED" w:rsidRPr="00805881" w:rsidRDefault="00662BED" w:rsidP="00E43A71">
            <w:pPr>
              <w:spacing w:before="0" w:after="0" w:line="240" w:lineRule="auto"/>
              <w:jc w:val="center"/>
              <w:rPr>
                <w:color w:val="000000"/>
                <w:szCs w:val="20"/>
              </w:rPr>
            </w:pPr>
            <w:r w:rsidRPr="00805881">
              <w:rPr>
                <w:szCs w:val="20"/>
              </w:rPr>
              <w:t>Covered</w:t>
            </w:r>
          </w:p>
        </w:tc>
      </w:tr>
      <w:tr w:rsidR="00662BED" w:rsidRPr="006628D8" w14:paraId="3856761D" w14:textId="77777777" w:rsidTr="0038312D">
        <w:trPr>
          <w:trHeight w:val="579"/>
        </w:trPr>
        <w:tc>
          <w:tcPr>
            <w:tcW w:w="2065" w:type="dxa"/>
            <w:shd w:val="clear" w:color="auto" w:fill="FFFFFF"/>
            <w:vAlign w:val="center"/>
          </w:tcPr>
          <w:p w14:paraId="254EADE1" w14:textId="7DD40E84" w:rsidR="00662BED" w:rsidRPr="00805881" w:rsidRDefault="00662BED" w:rsidP="00A04AC8">
            <w:pPr>
              <w:spacing w:before="0" w:after="0" w:line="240" w:lineRule="auto"/>
              <w:jc w:val="left"/>
              <w:rPr>
                <w:szCs w:val="20"/>
              </w:rPr>
            </w:pPr>
            <w:r w:rsidRPr="00805881">
              <w:rPr>
                <w:szCs w:val="20"/>
              </w:rPr>
              <w:t>Physical, Speech, and Occupational Therapy</w:t>
            </w:r>
          </w:p>
        </w:tc>
        <w:tc>
          <w:tcPr>
            <w:tcW w:w="2325" w:type="dxa"/>
            <w:shd w:val="clear" w:color="auto" w:fill="FFFFFF"/>
            <w:vAlign w:val="center"/>
          </w:tcPr>
          <w:p w14:paraId="56715AEB" w14:textId="1C4A5B45" w:rsidR="00662BED" w:rsidRPr="00805881" w:rsidRDefault="00662BED" w:rsidP="00A04AC8">
            <w:pPr>
              <w:spacing w:before="0" w:after="0" w:line="240" w:lineRule="auto"/>
              <w:jc w:val="center"/>
              <w:rPr>
                <w:color w:val="000000"/>
                <w:szCs w:val="20"/>
              </w:rPr>
            </w:pPr>
            <w:r w:rsidRPr="00805881">
              <w:rPr>
                <w:color w:val="000000"/>
                <w:szCs w:val="20"/>
              </w:rPr>
              <w:t>Covers up to 30 visits per year combined</w:t>
            </w:r>
          </w:p>
        </w:tc>
        <w:tc>
          <w:tcPr>
            <w:tcW w:w="2445" w:type="dxa"/>
            <w:shd w:val="clear" w:color="auto" w:fill="FFFFFF"/>
            <w:vAlign w:val="center"/>
          </w:tcPr>
          <w:p w14:paraId="55B9BC77" w14:textId="5DEEA248" w:rsidR="00662BED" w:rsidRPr="00805881" w:rsidRDefault="00662BED" w:rsidP="00A04AC8">
            <w:pPr>
              <w:spacing w:before="0" w:after="0" w:line="240" w:lineRule="auto"/>
              <w:jc w:val="center"/>
              <w:rPr>
                <w:color w:val="000000"/>
                <w:szCs w:val="20"/>
              </w:rPr>
            </w:pPr>
            <w:r w:rsidRPr="00805881">
              <w:rPr>
                <w:color w:val="000000"/>
                <w:szCs w:val="20"/>
              </w:rPr>
              <w:t>Covers up to 30 visits per year combined</w:t>
            </w:r>
          </w:p>
        </w:tc>
        <w:tc>
          <w:tcPr>
            <w:tcW w:w="2515" w:type="dxa"/>
            <w:shd w:val="clear" w:color="auto" w:fill="FFFFFF"/>
            <w:vAlign w:val="center"/>
          </w:tcPr>
          <w:p w14:paraId="51800BED" w14:textId="405CF809" w:rsidR="00662BED" w:rsidRPr="00805881" w:rsidRDefault="00662BED" w:rsidP="00A04AC8">
            <w:pPr>
              <w:spacing w:before="0" w:after="0" w:line="240" w:lineRule="auto"/>
              <w:jc w:val="center"/>
              <w:rPr>
                <w:color w:val="000000"/>
                <w:szCs w:val="20"/>
              </w:rPr>
            </w:pPr>
            <w:r w:rsidRPr="00805881">
              <w:rPr>
                <w:szCs w:val="20"/>
              </w:rPr>
              <w:t>Covers up to 60 visits per year limit combined with chiropractic</w:t>
            </w:r>
          </w:p>
        </w:tc>
      </w:tr>
    </w:tbl>
    <w:p w14:paraId="4EA132C0" w14:textId="09ED2E36" w:rsidR="00BC3F2D" w:rsidRDefault="001A2849" w:rsidP="00E06409">
      <w:pPr>
        <w:pStyle w:val="Heading1"/>
      </w:pPr>
      <w:bookmarkStart w:id="9" w:name="_Toc100737831"/>
      <w:r>
        <w:t>Typicality Test</w:t>
      </w:r>
      <w:bookmarkEnd w:id="9"/>
    </w:p>
    <w:p w14:paraId="1924DB0D" w14:textId="77777777" w:rsidR="00BC3F2D" w:rsidRDefault="001A2849" w:rsidP="00805881">
      <w:pPr>
        <w:spacing w:before="200" w:after="0"/>
      </w:pPr>
      <w:r>
        <w:t>In order for the proposed benchmark plan to pass the typicality test, the value of the proposed benchmark plan needs to equal the scope of a typical employer plan.</w:t>
      </w:r>
      <w:r>
        <w:rPr>
          <w:vertAlign w:val="superscript"/>
        </w:rPr>
        <w:footnoteReference w:id="7"/>
      </w:r>
    </w:p>
    <w:p w14:paraId="35F43965" w14:textId="0DFCF453" w:rsidR="00BC3F2D" w:rsidRDefault="001A2849" w:rsidP="00805881">
      <w:pPr>
        <w:spacing w:before="200" w:after="0"/>
      </w:pPr>
      <w:proofErr w:type="spellStart"/>
      <w:r>
        <w:t>Wakely</w:t>
      </w:r>
      <w:proofErr w:type="spellEnd"/>
      <w:r>
        <w:t xml:space="preserve"> analyzed the expected relative cost difference of the benefits of the proposed benchmark plan and </w:t>
      </w:r>
      <w:r w:rsidR="0099370F">
        <w:t>Plan J</w:t>
      </w:r>
      <w:r>
        <w:t xml:space="preserve">, which is an option for the typicality test, under CFR 156.111(b)(2)(i). As demonstrated in the previous analysis, the difference in the new benefits in the proposed benchmark plan, relative to the current benchmark plan </w:t>
      </w:r>
      <w:r w:rsidRPr="00812357">
        <w:t>is 0.</w:t>
      </w:r>
      <w:r w:rsidR="00AB3231" w:rsidRPr="00812357">
        <w:t>10</w:t>
      </w:r>
      <w:r w:rsidRPr="00812357">
        <w:t xml:space="preserve">% (see Table 1). Other benefit differences, specifically benefit differences between </w:t>
      </w:r>
      <w:r w:rsidR="0099370F" w:rsidRPr="00812357">
        <w:t>Plan J</w:t>
      </w:r>
      <w:r w:rsidRPr="00812357">
        <w:t xml:space="preserve"> and the current benchmark plan, were also estimated</w:t>
      </w:r>
      <w:r w:rsidRPr="00812357">
        <w:rPr>
          <w:vertAlign w:val="superscript"/>
        </w:rPr>
        <w:footnoteReference w:id="8"/>
      </w:r>
      <w:r w:rsidRPr="00812357">
        <w:t xml:space="preserve"> and determined to be 0.</w:t>
      </w:r>
      <w:r w:rsidR="00AB3231" w:rsidRPr="00812357">
        <w:t>10</w:t>
      </w:r>
      <w:r w:rsidRPr="00812357">
        <w:t>%</w:t>
      </w:r>
      <w:r w:rsidR="002C0A88" w:rsidRPr="00812357">
        <w:t xml:space="preserve"> as shown in Table</w:t>
      </w:r>
      <w:r w:rsidR="002C0A88">
        <w:t xml:space="preserve"> </w:t>
      </w:r>
      <w:r w:rsidR="004F713E">
        <w:t>4</w:t>
      </w:r>
      <w:r>
        <w:t xml:space="preserve">. The methodology used to determine these estimates are explained in Appendix A.  </w:t>
      </w:r>
    </w:p>
    <w:p w14:paraId="59C0D830" w14:textId="353F277B" w:rsidR="00BC3F2D" w:rsidRPr="006628D8" w:rsidRDefault="001A2849" w:rsidP="00805881">
      <w:pPr>
        <w:tabs>
          <w:tab w:val="left" w:pos="2122"/>
        </w:tabs>
        <w:spacing w:before="200" w:after="0"/>
      </w:pPr>
      <w:r>
        <w:lastRenderedPageBreak/>
        <w:t xml:space="preserve">As seen in Table </w:t>
      </w:r>
      <w:r w:rsidR="004F713E">
        <w:t>4</w:t>
      </w:r>
      <w:r>
        <w:t>, the benefit differences</w:t>
      </w:r>
      <w:r w:rsidR="003F12BB">
        <w:t xml:space="preserve"> between the proposed benchmark and the typical employer plan (as defined by </w:t>
      </w:r>
      <w:r w:rsidR="0099370F">
        <w:t>Plan J</w:t>
      </w:r>
      <w:r w:rsidR="003F12BB">
        <w:t xml:space="preserve">) </w:t>
      </w:r>
      <w:r>
        <w:t>result in the proposed benchmark having the same level of coverage as a typical employer plan</w:t>
      </w:r>
      <w:r w:rsidR="003F12BB">
        <w:t>.</w:t>
      </w:r>
      <w:r>
        <w:t xml:space="preserve"> Given that the proposed benchmark is equal to a typical employer plan, the new benchmark meets the typical employer test. </w:t>
      </w:r>
    </w:p>
    <w:p w14:paraId="4D4D22CB" w14:textId="2D9B7399" w:rsidR="00BC3F2D" w:rsidRPr="00BB79BF" w:rsidRDefault="001A2849" w:rsidP="00805881">
      <w:pPr>
        <w:spacing w:before="200" w:after="0"/>
        <w:jc w:val="center"/>
        <w:rPr>
          <w:b/>
          <w:sz w:val="24"/>
        </w:rPr>
      </w:pPr>
      <w:r w:rsidRPr="00BB79BF">
        <w:rPr>
          <w:b/>
        </w:rPr>
        <w:t xml:space="preserve">Table </w:t>
      </w:r>
      <w:r w:rsidR="004F713E">
        <w:rPr>
          <w:b/>
        </w:rPr>
        <w:t>4</w:t>
      </w:r>
      <w:r w:rsidRPr="00BB79BF">
        <w:rPr>
          <w:b/>
        </w:rPr>
        <w:t>: Comparison of Proposed Benchmark to Typical Employer Plan</w:t>
      </w:r>
    </w:p>
    <w:tbl>
      <w:tblPr>
        <w:tblStyle w:val="a3"/>
        <w:tblW w:w="7825" w:type="dxa"/>
        <w:jc w:val="center"/>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Layout w:type="fixed"/>
        <w:tblLook w:val="0420" w:firstRow="1" w:lastRow="0" w:firstColumn="0" w:lastColumn="0" w:noHBand="0" w:noVBand="1"/>
      </w:tblPr>
      <w:tblGrid>
        <w:gridCol w:w="4135"/>
        <w:gridCol w:w="2340"/>
        <w:gridCol w:w="1350"/>
      </w:tblGrid>
      <w:tr w:rsidR="00AF215D" w:rsidRPr="006628D8" w14:paraId="14533E68" w14:textId="77777777" w:rsidTr="00805881">
        <w:trPr>
          <w:cnfStyle w:val="100000000000" w:firstRow="1" w:lastRow="0" w:firstColumn="0" w:lastColumn="0" w:oddVBand="0" w:evenVBand="0" w:oddHBand="0" w:evenHBand="0" w:firstRowFirstColumn="0" w:firstRowLastColumn="0" w:lastRowFirstColumn="0" w:lastRowLastColumn="0"/>
          <w:trHeight w:val="278"/>
          <w:tblHeader/>
          <w:jc w:val="center"/>
        </w:trPr>
        <w:tc>
          <w:tcPr>
            <w:tcW w:w="4135" w:type="dxa"/>
            <w:vAlign w:val="center"/>
          </w:tcPr>
          <w:p w14:paraId="75827FB9" w14:textId="77777777" w:rsidR="00AF215D" w:rsidRPr="0097100B" w:rsidRDefault="00AF215D" w:rsidP="0038312D">
            <w:pPr>
              <w:spacing w:before="0"/>
              <w:jc w:val="left"/>
              <w:rPr>
                <w:sz w:val="20"/>
                <w:szCs w:val="20"/>
              </w:rPr>
            </w:pPr>
            <w:r w:rsidRPr="0097100B">
              <w:rPr>
                <w:sz w:val="20"/>
                <w:szCs w:val="20"/>
              </w:rPr>
              <w:t>Benefits</w:t>
            </w:r>
          </w:p>
        </w:tc>
        <w:tc>
          <w:tcPr>
            <w:tcW w:w="2340" w:type="dxa"/>
            <w:vAlign w:val="center"/>
          </w:tcPr>
          <w:p w14:paraId="2A6AC0C3" w14:textId="77777777" w:rsidR="00AF215D" w:rsidRPr="0097100B" w:rsidRDefault="00AF215D" w:rsidP="0038312D">
            <w:pPr>
              <w:spacing w:before="0"/>
              <w:jc w:val="center"/>
              <w:rPr>
                <w:sz w:val="20"/>
                <w:szCs w:val="20"/>
              </w:rPr>
            </w:pPr>
            <w:r w:rsidRPr="0097100B">
              <w:rPr>
                <w:sz w:val="20"/>
                <w:szCs w:val="20"/>
              </w:rPr>
              <w:t>Proposed Benchmark</w:t>
            </w:r>
          </w:p>
        </w:tc>
        <w:tc>
          <w:tcPr>
            <w:tcW w:w="1350" w:type="dxa"/>
            <w:vAlign w:val="center"/>
          </w:tcPr>
          <w:p w14:paraId="5C71C9B0" w14:textId="0E0D21FC" w:rsidR="00AF215D" w:rsidRPr="0097100B" w:rsidRDefault="00AF215D" w:rsidP="0038312D">
            <w:pPr>
              <w:spacing w:before="0"/>
              <w:jc w:val="center"/>
              <w:rPr>
                <w:sz w:val="20"/>
                <w:szCs w:val="20"/>
              </w:rPr>
            </w:pPr>
            <w:r w:rsidRPr="0097100B">
              <w:rPr>
                <w:sz w:val="20"/>
                <w:szCs w:val="20"/>
              </w:rPr>
              <w:t>Plan J</w:t>
            </w:r>
          </w:p>
        </w:tc>
      </w:tr>
      <w:tr w:rsidR="00AF215D" w:rsidRPr="006628D8" w14:paraId="79C86B51" w14:textId="77777777" w:rsidTr="00805881">
        <w:trPr>
          <w:trHeight w:val="288"/>
          <w:jc w:val="center"/>
        </w:trPr>
        <w:tc>
          <w:tcPr>
            <w:tcW w:w="4135" w:type="dxa"/>
            <w:vAlign w:val="center"/>
          </w:tcPr>
          <w:p w14:paraId="588DCA9C"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Starting Value - Current Benchmark</w:t>
            </w:r>
          </w:p>
        </w:tc>
        <w:tc>
          <w:tcPr>
            <w:tcW w:w="2340" w:type="dxa"/>
            <w:vAlign w:val="center"/>
          </w:tcPr>
          <w:p w14:paraId="52A2B0AA"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100.00%</w:t>
            </w:r>
          </w:p>
        </w:tc>
        <w:tc>
          <w:tcPr>
            <w:tcW w:w="1350" w:type="dxa"/>
            <w:vAlign w:val="center"/>
          </w:tcPr>
          <w:p w14:paraId="46605C79"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100.00%</w:t>
            </w:r>
          </w:p>
        </w:tc>
      </w:tr>
      <w:tr w:rsidR="00AF215D" w:rsidRPr="006628D8" w14:paraId="5402147A" w14:textId="77777777" w:rsidTr="00805881">
        <w:trPr>
          <w:trHeight w:val="288"/>
          <w:jc w:val="center"/>
        </w:trPr>
        <w:tc>
          <w:tcPr>
            <w:tcW w:w="4135" w:type="dxa"/>
            <w:vAlign w:val="center"/>
          </w:tcPr>
          <w:p w14:paraId="18C9E8B5" w14:textId="77777777" w:rsidR="00AF215D" w:rsidRPr="00805881" w:rsidRDefault="00AF215D" w:rsidP="0038312D">
            <w:pPr>
              <w:spacing w:before="0"/>
              <w:jc w:val="left"/>
              <w:rPr>
                <w:rFonts w:ascii="Arial" w:eastAsia="Arial" w:hAnsi="Arial" w:cs="Arial"/>
                <w:b/>
                <w:sz w:val="22"/>
              </w:rPr>
            </w:pPr>
            <w:r w:rsidRPr="00805881">
              <w:rPr>
                <w:rFonts w:ascii="Arial" w:hAnsi="Arial" w:cs="Arial"/>
                <w:b/>
                <w:bCs/>
                <w:color w:val="000000"/>
                <w:sz w:val="22"/>
              </w:rPr>
              <w:t>Benefit Differences</w:t>
            </w:r>
          </w:p>
        </w:tc>
        <w:tc>
          <w:tcPr>
            <w:tcW w:w="2340" w:type="dxa"/>
            <w:vAlign w:val="center"/>
          </w:tcPr>
          <w:p w14:paraId="14F118FC"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c>
          <w:tcPr>
            <w:tcW w:w="1350" w:type="dxa"/>
            <w:vAlign w:val="center"/>
          </w:tcPr>
          <w:p w14:paraId="00583BFD"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r>
      <w:tr w:rsidR="00AF215D" w:rsidRPr="006628D8" w14:paraId="0F896742" w14:textId="77777777" w:rsidTr="00805881">
        <w:trPr>
          <w:trHeight w:val="288"/>
          <w:jc w:val="center"/>
        </w:trPr>
        <w:tc>
          <w:tcPr>
            <w:tcW w:w="4135" w:type="dxa"/>
            <w:vAlign w:val="center"/>
          </w:tcPr>
          <w:p w14:paraId="6ED875AB"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 xml:space="preserve">   Hearing Benefit (See Table 1)</w:t>
            </w:r>
          </w:p>
        </w:tc>
        <w:tc>
          <w:tcPr>
            <w:tcW w:w="2340" w:type="dxa"/>
            <w:vAlign w:val="center"/>
          </w:tcPr>
          <w:p w14:paraId="01271830"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0.10%</w:t>
            </w:r>
          </w:p>
        </w:tc>
        <w:tc>
          <w:tcPr>
            <w:tcW w:w="1350" w:type="dxa"/>
            <w:vAlign w:val="center"/>
          </w:tcPr>
          <w:p w14:paraId="53D78EAD"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r>
      <w:tr w:rsidR="00AF215D" w:rsidRPr="006628D8" w14:paraId="20F65870" w14:textId="77777777" w:rsidTr="00805881">
        <w:trPr>
          <w:trHeight w:val="288"/>
          <w:jc w:val="center"/>
        </w:trPr>
        <w:tc>
          <w:tcPr>
            <w:tcW w:w="4135" w:type="dxa"/>
            <w:vAlign w:val="center"/>
          </w:tcPr>
          <w:p w14:paraId="254AF6D7"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 xml:space="preserve">   Lifestyle and Stomach Acid Drugs</w:t>
            </w:r>
          </w:p>
        </w:tc>
        <w:tc>
          <w:tcPr>
            <w:tcW w:w="2340" w:type="dxa"/>
            <w:vAlign w:val="center"/>
          </w:tcPr>
          <w:p w14:paraId="47EC61DC" w14:textId="77777777" w:rsidR="00AF215D" w:rsidRPr="00805881" w:rsidRDefault="00AF215D" w:rsidP="0038312D">
            <w:pPr>
              <w:spacing w:before="0"/>
              <w:jc w:val="right"/>
              <w:rPr>
                <w:rFonts w:ascii="Arial" w:eastAsia="Arial" w:hAnsi="Arial" w:cs="Arial"/>
                <w:sz w:val="22"/>
              </w:rPr>
            </w:pPr>
            <w:r w:rsidRPr="00805881">
              <w:rPr>
                <w:rFonts w:ascii="Arial" w:hAnsi="Arial" w:cs="Arial"/>
                <w:sz w:val="22"/>
              </w:rPr>
              <w:t> </w:t>
            </w:r>
          </w:p>
        </w:tc>
        <w:tc>
          <w:tcPr>
            <w:tcW w:w="1350" w:type="dxa"/>
            <w:vAlign w:val="center"/>
          </w:tcPr>
          <w:p w14:paraId="527300E6"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0.15%</w:t>
            </w:r>
          </w:p>
        </w:tc>
      </w:tr>
      <w:tr w:rsidR="00AF215D" w:rsidRPr="006628D8" w14:paraId="6A5B79D7" w14:textId="77777777" w:rsidTr="00805881">
        <w:trPr>
          <w:trHeight w:val="288"/>
          <w:jc w:val="center"/>
        </w:trPr>
        <w:tc>
          <w:tcPr>
            <w:tcW w:w="4135" w:type="dxa"/>
            <w:vAlign w:val="center"/>
          </w:tcPr>
          <w:p w14:paraId="25AB9535"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 xml:space="preserve">   Pediatric Vision</w:t>
            </w:r>
          </w:p>
        </w:tc>
        <w:tc>
          <w:tcPr>
            <w:tcW w:w="2340" w:type="dxa"/>
            <w:shd w:val="clear" w:color="auto" w:fill="auto"/>
            <w:vAlign w:val="center"/>
          </w:tcPr>
          <w:p w14:paraId="4287E7E6" w14:textId="77777777" w:rsidR="00AF215D" w:rsidRPr="00805881" w:rsidRDefault="00AF215D" w:rsidP="0038312D">
            <w:pPr>
              <w:spacing w:before="0"/>
              <w:jc w:val="right"/>
              <w:rPr>
                <w:rFonts w:ascii="Arial" w:eastAsia="Arial" w:hAnsi="Arial" w:cs="Arial"/>
                <w:sz w:val="22"/>
              </w:rPr>
            </w:pPr>
            <w:r w:rsidRPr="00805881">
              <w:rPr>
                <w:rFonts w:ascii="Arial" w:hAnsi="Arial" w:cs="Arial"/>
                <w:sz w:val="22"/>
              </w:rPr>
              <w:t> </w:t>
            </w:r>
          </w:p>
        </w:tc>
        <w:tc>
          <w:tcPr>
            <w:tcW w:w="1350" w:type="dxa"/>
            <w:shd w:val="clear" w:color="auto" w:fill="auto"/>
            <w:vAlign w:val="center"/>
          </w:tcPr>
          <w:p w14:paraId="72D82DA1"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-0.05%</w:t>
            </w:r>
          </w:p>
        </w:tc>
      </w:tr>
      <w:tr w:rsidR="00AF215D" w:rsidRPr="006628D8" w14:paraId="7A26DE37" w14:textId="77777777" w:rsidTr="00805881">
        <w:trPr>
          <w:trHeight w:val="288"/>
          <w:jc w:val="center"/>
        </w:trPr>
        <w:tc>
          <w:tcPr>
            <w:tcW w:w="4135" w:type="dxa"/>
            <w:vAlign w:val="center"/>
          </w:tcPr>
          <w:p w14:paraId="525E0CCA" w14:textId="77777777" w:rsidR="00AF215D" w:rsidRPr="00805881" w:rsidRDefault="00AF215D" w:rsidP="0038312D">
            <w:pPr>
              <w:spacing w:before="0"/>
              <w:jc w:val="left"/>
              <w:rPr>
                <w:rFonts w:ascii="Arial" w:eastAsia="Arial" w:hAnsi="Arial" w:cs="Arial"/>
                <w:sz w:val="22"/>
              </w:rPr>
            </w:pPr>
            <w:r w:rsidRPr="00805881">
              <w:rPr>
                <w:rFonts w:ascii="Arial" w:hAnsi="Arial" w:cs="Arial"/>
                <w:b/>
                <w:bCs/>
                <w:color w:val="000000"/>
                <w:sz w:val="22"/>
              </w:rPr>
              <w:t>Total Value of Plan</w:t>
            </w:r>
          </w:p>
        </w:tc>
        <w:tc>
          <w:tcPr>
            <w:tcW w:w="2340" w:type="dxa"/>
            <w:vAlign w:val="center"/>
          </w:tcPr>
          <w:p w14:paraId="7D1D797F"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100.10%</w:t>
            </w:r>
          </w:p>
        </w:tc>
        <w:tc>
          <w:tcPr>
            <w:tcW w:w="1350" w:type="dxa"/>
            <w:vAlign w:val="center"/>
          </w:tcPr>
          <w:p w14:paraId="6ECAEE5A"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100.10%</w:t>
            </w:r>
          </w:p>
        </w:tc>
      </w:tr>
    </w:tbl>
    <w:p w14:paraId="5DFDBF78" w14:textId="37031B3E" w:rsidR="00BC3F2D" w:rsidRDefault="001A2849" w:rsidP="00E06409">
      <w:pPr>
        <w:pStyle w:val="Heading1"/>
      </w:pPr>
      <w:bookmarkStart w:id="10" w:name="_Toc100737832"/>
      <w:r>
        <w:t>Generosity Test</w:t>
      </w:r>
      <w:bookmarkEnd w:id="10"/>
    </w:p>
    <w:p w14:paraId="6AA7567A" w14:textId="77777777" w:rsidR="00BC3F2D" w:rsidRDefault="001A2849" w:rsidP="00805881">
      <w:pPr>
        <w:spacing w:before="200" w:after="0"/>
      </w:pPr>
      <w:r>
        <w:t>The second requirement for a new benchmark is the generosity test. In particular, a state’s EHB-benchmark plan must not exceed the generosity of the most generous among the set of comparison plans.</w:t>
      </w:r>
    </w:p>
    <w:p w14:paraId="30AD7823" w14:textId="7C764C61" w:rsidR="00BC3F2D" w:rsidRDefault="001A2849" w:rsidP="00805881">
      <w:pPr>
        <w:spacing w:before="200" w:after="0"/>
      </w:pPr>
      <w:proofErr w:type="spellStart"/>
      <w:r>
        <w:t>Wakely</w:t>
      </w:r>
      <w:proofErr w:type="spellEnd"/>
      <w:r>
        <w:t xml:space="preserve"> analyzed the generosity among the comparison plans and identified the </w:t>
      </w:r>
      <w:r w:rsidR="00AB3231">
        <w:t>State employee</w:t>
      </w:r>
      <w:r>
        <w:t xml:space="preserve"> plan as the most generous among the set of comparison plans.</w:t>
      </w:r>
      <w:r>
        <w:rPr>
          <w:vertAlign w:val="superscript"/>
        </w:rPr>
        <w:footnoteReference w:id="9"/>
      </w:r>
      <w:r>
        <w:t xml:space="preserve"> </w:t>
      </w:r>
      <w:proofErr w:type="spellStart"/>
      <w:r>
        <w:t>Wakely</w:t>
      </w:r>
      <w:proofErr w:type="spellEnd"/>
      <w:r>
        <w:t xml:space="preserve"> has supported over twelve states with EHB analyses over the years and leveraged some of that prior work in identifying the plans most likely to be the most generous. In particular, </w:t>
      </w:r>
      <w:proofErr w:type="spellStart"/>
      <w:r>
        <w:t>Wakely</w:t>
      </w:r>
      <w:proofErr w:type="spellEnd"/>
      <w:r>
        <w:t xml:space="preserve"> has a strong sense of which benefits are significant in value and which have minimal impact on the overall generosity of the plan. </w:t>
      </w:r>
      <w:proofErr w:type="spellStart"/>
      <w:r>
        <w:t>Wakely</w:t>
      </w:r>
      <w:proofErr w:type="spellEnd"/>
      <w:r>
        <w:t xml:space="preserve"> identified the </w:t>
      </w:r>
      <w:r w:rsidR="00A341DB">
        <w:t xml:space="preserve">State employee </w:t>
      </w:r>
      <w:r>
        <w:t>plan as likely the most generous using the following process:</w:t>
      </w:r>
    </w:p>
    <w:p w14:paraId="09E6AD30" w14:textId="5E8B9ACC"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The current benchmark is the </w:t>
      </w:r>
      <w:r w:rsidR="00A341DB" w:rsidRPr="007F4830">
        <w:rPr>
          <w:color w:val="000000"/>
        </w:rPr>
        <w:t>B</w:t>
      </w:r>
      <w:r w:rsidR="00D410DB">
        <w:rPr>
          <w:color w:val="000000"/>
        </w:rPr>
        <w:t xml:space="preserve">lueCross BlueShield of Vermont Standard </w:t>
      </w:r>
      <w:r w:rsidR="00A341DB" w:rsidRPr="007F4830">
        <w:rPr>
          <w:color w:val="000000"/>
        </w:rPr>
        <w:t xml:space="preserve">CDHP </w:t>
      </w:r>
      <w:r w:rsidRPr="007F4830">
        <w:rPr>
          <w:color w:val="000000"/>
        </w:rPr>
        <w:t>plan.</w:t>
      </w:r>
    </w:p>
    <w:p w14:paraId="718EAF13" w14:textId="22157F9D"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Based on prior </w:t>
      </w:r>
      <w:proofErr w:type="spellStart"/>
      <w:r w:rsidRPr="007F4830">
        <w:rPr>
          <w:color w:val="000000"/>
        </w:rPr>
        <w:t>Wakely</w:t>
      </w:r>
      <w:proofErr w:type="spellEnd"/>
      <w:r w:rsidRPr="007F4830">
        <w:rPr>
          <w:color w:val="000000"/>
        </w:rPr>
        <w:t xml:space="preserve"> analysis, </w:t>
      </w:r>
      <w:proofErr w:type="spellStart"/>
      <w:r w:rsidRPr="007F4830">
        <w:rPr>
          <w:color w:val="000000"/>
        </w:rPr>
        <w:t>Wakely</w:t>
      </w:r>
      <w:proofErr w:type="spellEnd"/>
      <w:r w:rsidRPr="007F4830">
        <w:rPr>
          <w:color w:val="000000"/>
        </w:rPr>
        <w:t xml:space="preserve"> determined that the GEHA plan was the most generous of the three FEHB plan offerings. This is primarily driven by richer acupuncture, PT/OT/ST, and pediatric dental benefits. </w:t>
      </w:r>
    </w:p>
    <w:p w14:paraId="09DF654A" w14:textId="37E6BDB8"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Based on a review of the three small group plans, </w:t>
      </w:r>
      <w:proofErr w:type="spellStart"/>
      <w:r w:rsidRPr="007F4830">
        <w:rPr>
          <w:color w:val="000000"/>
        </w:rPr>
        <w:t>Wakely</w:t>
      </w:r>
      <w:proofErr w:type="spellEnd"/>
      <w:r w:rsidRPr="007F4830">
        <w:rPr>
          <w:color w:val="000000"/>
        </w:rPr>
        <w:t xml:space="preserve"> </w:t>
      </w:r>
      <w:r w:rsidRPr="007F4830">
        <w:t xml:space="preserve">identified </w:t>
      </w:r>
      <w:r w:rsidR="00123461" w:rsidRPr="007F4830">
        <w:t xml:space="preserve">the three plans had </w:t>
      </w:r>
      <w:r w:rsidR="007F4830" w:rsidRPr="007F4830">
        <w:t xml:space="preserve">nearly </w:t>
      </w:r>
      <w:r w:rsidR="00123461" w:rsidRPr="007F4830">
        <w:t xml:space="preserve">identical </w:t>
      </w:r>
      <w:r w:rsidR="007043A6" w:rsidRPr="007F4830">
        <w:t>coverage of benefits</w:t>
      </w:r>
      <w:r w:rsidR="007043A6" w:rsidRPr="007F4830">
        <w:rPr>
          <w:color w:val="000000"/>
        </w:rPr>
        <w:t>.</w:t>
      </w:r>
      <w:r w:rsidR="007F4830" w:rsidRPr="007F4830">
        <w:rPr>
          <w:color w:val="000000"/>
        </w:rPr>
        <w:t xml:space="preserve"> </w:t>
      </w:r>
    </w:p>
    <w:p w14:paraId="5A3D853F" w14:textId="463E1F7E" w:rsidR="00BC3F2D" w:rsidRPr="007F4830" w:rsidRDefault="007043A6" w:rsidP="00805881">
      <w:pPr>
        <w:numPr>
          <w:ilvl w:val="0"/>
          <w:numId w:val="2"/>
        </w:numPr>
        <w:pBdr>
          <w:top w:val="nil"/>
          <w:left w:val="nil"/>
          <w:bottom w:val="nil"/>
          <w:right w:val="nil"/>
          <w:between w:val="nil"/>
        </w:pBdr>
        <w:spacing w:before="200" w:after="0"/>
        <w:rPr>
          <w:color w:val="000000"/>
        </w:rPr>
      </w:pPr>
      <w:r w:rsidRPr="007F4830">
        <w:rPr>
          <w:color w:val="000000"/>
        </w:rPr>
        <w:t xml:space="preserve">Similarly, the two </w:t>
      </w:r>
      <w:r w:rsidR="0099370F" w:rsidRPr="007F4830">
        <w:rPr>
          <w:color w:val="000000"/>
        </w:rPr>
        <w:t>State Employee</w:t>
      </w:r>
      <w:r w:rsidR="001A2849" w:rsidRPr="007F4830">
        <w:rPr>
          <w:color w:val="000000"/>
        </w:rPr>
        <w:t xml:space="preserve"> plans</w:t>
      </w:r>
      <w:r w:rsidRPr="007F4830">
        <w:rPr>
          <w:color w:val="000000"/>
        </w:rPr>
        <w:t xml:space="preserve"> cover the same benefits but with different cost sharing.</w:t>
      </w:r>
      <w:r w:rsidR="007F4830" w:rsidRPr="007F4830">
        <w:rPr>
          <w:color w:val="000000"/>
        </w:rPr>
        <w:t xml:space="preserve"> Furthermore, the State Employee plans were found to be more generous than </w:t>
      </w:r>
      <w:r w:rsidR="007F4830" w:rsidRPr="007F4830">
        <w:rPr>
          <w:color w:val="000000"/>
        </w:rPr>
        <w:lastRenderedPageBreak/>
        <w:t xml:space="preserve">the current benchmark driven primarily by </w:t>
      </w:r>
      <w:r w:rsidR="007F4830">
        <w:rPr>
          <w:color w:val="000000"/>
        </w:rPr>
        <w:t xml:space="preserve">richer </w:t>
      </w:r>
      <w:r w:rsidR="007F4830" w:rsidRPr="007F4830">
        <w:rPr>
          <w:color w:val="000000"/>
        </w:rPr>
        <w:t xml:space="preserve">infertility, acupuncture, chiropractic care, and therapy </w:t>
      </w:r>
      <w:r w:rsidR="007F4830">
        <w:rPr>
          <w:color w:val="000000"/>
        </w:rPr>
        <w:t>benefits</w:t>
      </w:r>
      <w:r w:rsidR="007F4830" w:rsidRPr="007F4830">
        <w:rPr>
          <w:color w:val="000000"/>
        </w:rPr>
        <w:t>.</w:t>
      </w:r>
    </w:p>
    <w:p w14:paraId="052DB907" w14:textId="34D4B4FE"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Based on the assessment that the </w:t>
      </w:r>
      <w:r w:rsidR="007F4830">
        <w:rPr>
          <w:color w:val="000000"/>
        </w:rPr>
        <w:t xml:space="preserve">State Employee </w:t>
      </w:r>
      <w:r w:rsidRPr="007F4830">
        <w:rPr>
          <w:color w:val="000000"/>
        </w:rPr>
        <w:t>plan and the Federal GEHA plan were likely among the most generous, these two plans were priced compared to the benchmark plan to determine which was the most generous.</w:t>
      </w:r>
    </w:p>
    <w:p w14:paraId="461FEDAD" w14:textId="45941E3E"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The </w:t>
      </w:r>
      <w:proofErr w:type="spellStart"/>
      <w:r w:rsidR="000424DC">
        <w:rPr>
          <w:color w:val="000000"/>
        </w:rPr>
        <w:t>TotalChoice</w:t>
      </w:r>
      <w:proofErr w:type="spellEnd"/>
      <w:r w:rsidR="000424DC">
        <w:rPr>
          <w:color w:val="000000"/>
        </w:rPr>
        <w:t xml:space="preserve"> </w:t>
      </w:r>
      <w:r w:rsidRPr="007F4830">
        <w:rPr>
          <w:color w:val="000000"/>
        </w:rPr>
        <w:t xml:space="preserve">plan required supplementation for both pediatric dental and vision. </w:t>
      </w:r>
      <w:r w:rsidR="009D4DDB">
        <w:rPr>
          <w:color w:val="000000"/>
        </w:rPr>
        <w:t xml:space="preserve">The State CHIP pediatric dental and the Federal VIP’s pediatric vision were used for supplementation. </w:t>
      </w:r>
      <w:r w:rsidRPr="007F4830">
        <w:rPr>
          <w:color w:val="000000"/>
        </w:rPr>
        <w:t xml:space="preserve">The </w:t>
      </w:r>
      <w:r w:rsidR="000424DC">
        <w:rPr>
          <w:color w:val="000000"/>
        </w:rPr>
        <w:t xml:space="preserve">FEHB GEHA </w:t>
      </w:r>
      <w:r w:rsidRPr="007F4830">
        <w:rPr>
          <w:color w:val="000000"/>
        </w:rPr>
        <w:t xml:space="preserve">plan did not need supplementation for pediatric </w:t>
      </w:r>
      <w:proofErr w:type="gramStart"/>
      <w:r w:rsidRPr="007F4830">
        <w:rPr>
          <w:color w:val="000000"/>
        </w:rPr>
        <w:t>dental, but</w:t>
      </w:r>
      <w:proofErr w:type="gramEnd"/>
      <w:r w:rsidRPr="007F4830">
        <w:rPr>
          <w:color w:val="000000"/>
        </w:rPr>
        <w:t xml:space="preserve"> was supplemented with the FEP </w:t>
      </w:r>
      <w:proofErr w:type="spellStart"/>
      <w:r w:rsidRPr="007F4830">
        <w:rPr>
          <w:color w:val="000000"/>
        </w:rPr>
        <w:t>BlueVision</w:t>
      </w:r>
      <w:proofErr w:type="spellEnd"/>
      <w:r w:rsidRPr="007F4830">
        <w:rPr>
          <w:color w:val="000000"/>
        </w:rPr>
        <w:t xml:space="preserve"> High plan for vision.</w:t>
      </w:r>
    </w:p>
    <w:p w14:paraId="51EDDF29" w14:textId="45EC05BD" w:rsidR="00BC3F2D" w:rsidRPr="007F4830" w:rsidRDefault="001A2849" w:rsidP="00805881">
      <w:pPr>
        <w:numPr>
          <w:ilvl w:val="0"/>
          <w:numId w:val="2"/>
        </w:numPr>
        <w:pBdr>
          <w:top w:val="nil"/>
          <w:left w:val="nil"/>
          <w:bottom w:val="nil"/>
          <w:right w:val="nil"/>
          <w:between w:val="nil"/>
        </w:pBdr>
        <w:spacing w:before="200" w:after="0"/>
        <w:rPr>
          <w:color w:val="000000"/>
        </w:rPr>
      </w:pPr>
      <w:r w:rsidRPr="007F4830">
        <w:rPr>
          <w:color w:val="000000"/>
        </w:rPr>
        <w:t xml:space="preserve">The result of the analysis, details which follow, is that the </w:t>
      </w:r>
      <w:proofErr w:type="spellStart"/>
      <w:r w:rsidR="009D4DDB">
        <w:rPr>
          <w:color w:val="000000"/>
        </w:rPr>
        <w:t>TotalChoice</w:t>
      </w:r>
      <w:proofErr w:type="spellEnd"/>
      <w:r w:rsidR="009D4DDB">
        <w:rPr>
          <w:color w:val="000000"/>
        </w:rPr>
        <w:t xml:space="preserve"> </w:t>
      </w:r>
      <w:r w:rsidRPr="007F4830">
        <w:rPr>
          <w:color w:val="000000"/>
        </w:rPr>
        <w:t>plan is the most generous of the options.</w:t>
      </w:r>
    </w:p>
    <w:p w14:paraId="2D971584" w14:textId="3F8C6D28" w:rsidR="00BC3F2D" w:rsidRDefault="001A2849" w:rsidP="00805881">
      <w:pPr>
        <w:spacing w:before="200" w:after="0"/>
      </w:pPr>
      <w:r>
        <w:t xml:space="preserve">Table </w:t>
      </w:r>
      <w:r w:rsidR="004F713E">
        <w:t xml:space="preserve">3 </w:t>
      </w:r>
      <w:r>
        <w:t xml:space="preserve">above shows the benefit differences between the </w:t>
      </w:r>
      <w:r w:rsidR="009D4DDB">
        <w:t>current</w:t>
      </w:r>
      <w:r>
        <w:t xml:space="preserve"> benchmark and the </w:t>
      </w:r>
      <w:proofErr w:type="spellStart"/>
      <w:r w:rsidR="009D4DDB">
        <w:t>TotalChoice</w:t>
      </w:r>
      <w:proofErr w:type="spellEnd"/>
      <w:r w:rsidR="00A341DB">
        <w:t xml:space="preserve"> </w:t>
      </w:r>
      <w:r>
        <w:t xml:space="preserve">plan. </w:t>
      </w:r>
    </w:p>
    <w:p w14:paraId="182138D4" w14:textId="658B6598" w:rsidR="00BC3F2D" w:rsidRDefault="001A2849" w:rsidP="00805881">
      <w:pPr>
        <w:spacing w:before="200" w:after="0" w:line="259" w:lineRule="auto"/>
        <w:rPr>
          <w:sz w:val="44"/>
          <w:szCs w:val="44"/>
        </w:rPr>
      </w:pPr>
      <w:r>
        <w:t xml:space="preserve">As seen in Table </w:t>
      </w:r>
      <w:r w:rsidR="004F713E">
        <w:t>5</w:t>
      </w:r>
      <w:r>
        <w:t xml:space="preserve">, this results in the proposed benchmark being less generous than the </w:t>
      </w:r>
      <w:proofErr w:type="spellStart"/>
      <w:r w:rsidR="009D4DDB">
        <w:t>TotalChoice</w:t>
      </w:r>
      <w:proofErr w:type="spellEnd"/>
      <w:r w:rsidR="009D4DDB">
        <w:t xml:space="preserve"> plan</w:t>
      </w:r>
      <w:r>
        <w:t xml:space="preserve">. Therefore, the proposed benchmark plan meets the requirements of the generosity test. </w:t>
      </w:r>
    </w:p>
    <w:p w14:paraId="4D8DE89E" w14:textId="472254CA" w:rsidR="00BC3F2D" w:rsidRPr="00BB79BF" w:rsidRDefault="001A2849" w:rsidP="00805881">
      <w:pPr>
        <w:spacing w:before="200" w:after="0"/>
        <w:jc w:val="center"/>
        <w:rPr>
          <w:b/>
        </w:rPr>
      </w:pPr>
      <w:r w:rsidRPr="00BB79BF">
        <w:rPr>
          <w:b/>
        </w:rPr>
        <w:t xml:space="preserve">Table </w:t>
      </w:r>
      <w:r w:rsidR="004F713E">
        <w:rPr>
          <w:b/>
        </w:rPr>
        <w:t>5</w:t>
      </w:r>
      <w:r w:rsidRPr="00BB79BF">
        <w:rPr>
          <w:b/>
        </w:rPr>
        <w:t xml:space="preserve">: Comparison of Proposed Benchmark to </w:t>
      </w:r>
      <w:r w:rsidR="002C0A88" w:rsidRPr="00BB79BF">
        <w:rPr>
          <w:b/>
        </w:rPr>
        <w:t xml:space="preserve">Generosity Comparison Plan </w:t>
      </w:r>
    </w:p>
    <w:tbl>
      <w:tblPr>
        <w:tblStyle w:val="a4"/>
        <w:tblW w:w="4380" w:type="pct"/>
        <w:jc w:val="center"/>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Look w:val="0420" w:firstRow="1" w:lastRow="0" w:firstColumn="0" w:lastColumn="0" w:noHBand="0" w:noVBand="1"/>
      </w:tblPr>
      <w:tblGrid>
        <w:gridCol w:w="4946"/>
        <w:gridCol w:w="1564"/>
        <w:gridCol w:w="1681"/>
      </w:tblGrid>
      <w:tr w:rsidR="00AF215D" w:rsidRPr="00C97048" w14:paraId="1C42134D" w14:textId="77777777" w:rsidTr="00805881">
        <w:trPr>
          <w:cnfStyle w:val="100000000000" w:firstRow="1" w:lastRow="0" w:firstColumn="0" w:lastColumn="0" w:oddVBand="0" w:evenVBand="0" w:oddHBand="0" w:evenHBand="0" w:firstRowFirstColumn="0" w:firstRowLastColumn="0" w:lastRowFirstColumn="0" w:lastRowLastColumn="0"/>
          <w:trHeight w:val="431"/>
          <w:jc w:val="center"/>
        </w:trPr>
        <w:tc>
          <w:tcPr>
            <w:tcW w:w="3019" w:type="pct"/>
            <w:vAlign w:val="center"/>
          </w:tcPr>
          <w:p w14:paraId="408DCC39" w14:textId="77777777" w:rsidR="00AF215D" w:rsidRPr="0097100B" w:rsidRDefault="00AF215D" w:rsidP="0038312D">
            <w:pPr>
              <w:spacing w:before="0"/>
              <w:jc w:val="left"/>
              <w:rPr>
                <w:sz w:val="20"/>
                <w:szCs w:val="20"/>
              </w:rPr>
            </w:pPr>
            <w:r w:rsidRPr="0097100B">
              <w:rPr>
                <w:bCs/>
                <w:color w:val="FFFFFF"/>
                <w:sz w:val="20"/>
                <w:szCs w:val="20"/>
              </w:rPr>
              <w:t>Benefits</w:t>
            </w:r>
          </w:p>
        </w:tc>
        <w:tc>
          <w:tcPr>
            <w:tcW w:w="955" w:type="pct"/>
            <w:vAlign w:val="center"/>
          </w:tcPr>
          <w:p w14:paraId="1AE082F2" w14:textId="77777777" w:rsidR="00AF215D" w:rsidRPr="0097100B" w:rsidRDefault="00AF215D" w:rsidP="0038312D">
            <w:pPr>
              <w:spacing w:before="0"/>
              <w:jc w:val="center"/>
              <w:rPr>
                <w:sz w:val="20"/>
                <w:szCs w:val="20"/>
              </w:rPr>
            </w:pPr>
            <w:r w:rsidRPr="0097100B">
              <w:rPr>
                <w:bCs/>
                <w:color w:val="FFFFFF"/>
                <w:sz w:val="20"/>
                <w:szCs w:val="20"/>
              </w:rPr>
              <w:t>Proposed Benchmark</w:t>
            </w:r>
          </w:p>
        </w:tc>
        <w:tc>
          <w:tcPr>
            <w:tcW w:w="1027" w:type="pct"/>
            <w:vAlign w:val="center"/>
          </w:tcPr>
          <w:p w14:paraId="320C4865" w14:textId="77777777" w:rsidR="00AF215D" w:rsidRPr="0097100B" w:rsidRDefault="00AF215D" w:rsidP="0038312D">
            <w:pPr>
              <w:spacing w:before="0"/>
              <w:jc w:val="center"/>
              <w:rPr>
                <w:sz w:val="20"/>
                <w:szCs w:val="20"/>
              </w:rPr>
            </w:pPr>
            <w:proofErr w:type="spellStart"/>
            <w:r w:rsidRPr="0097100B">
              <w:rPr>
                <w:bCs/>
                <w:color w:val="FFFFFF"/>
                <w:sz w:val="20"/>
                <w:szCs w:val="20"/>
              </w:rPr>
              <w:t>TotalChoice</w:t>
            </w:r>
            <w:proofErr w:type="spellEnd"/>
          </w:p>
        </w:tc>
      </w:tr>
      <w:tr w:rsidR="00AF215D" w:rsidRPr="00C97048" w14:paraId="6F855ADC" w14:textId="77777777" w:rsidTr="00805881">
        <w:trPr>
          <w:trHeight w:val="442"/>
          <w:jc w:val="center"/>
        </w:trPr>
        <w:tc>
          <w:tcPr>
            <w:tcW w:w="3019" w:type="pct"/>
            <w:vAlign w:val="center"/>
          </w:tcPr>
          <w:p w14:paraId="2DEB24D3"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Starting Value - Current Benchmark</w:t>
            </w:r>
          </w:p>
        </w:tc>
        <w:tc>
          <w:tcPr>
            <w:tcW w:w="955" w:type="pct"/>
            <w:vAlign w:val="center"/>
          </w:tcPr>
          <w:p w14:paraId="30F080CE"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100.00%</w:t>
            </w:r>
          </w:p>
        </w:tc>
        <w:tc>
          <w:tcPr>
            <w:tcW w:w="1027" w:type="pct"/>
            <w:vAlign w:val="center"/>
          </w:tcPr>
          <w:p w14:paraId="158A239F"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100.00%</w:t>
            </w:r>
          </w:p>
        </w:tc>
      </w:tr>
      <w:tr w:rsidR="00AF215D" w:rsidRPr="00C97048" w14:paraId="4A48089B" w14:textId="77777777" w:rsidTr="00805881">
        <w:trPr>
          <w:trHeight w:val="425"/>
          <w:jc w:val="center"/>
        </w:trPr>
        <w:tc>
          <w:tcPr>
            <w:tcW w:w="3019" w:type="pct"/>
            <w:vAlign w:val="center"/>
          </w:tcPr>
          <w:p w14:paraId="69FB8A6D" w14:textId="77777777" w:rsidR="00AF215D" w:rsidRPr="00805881" w:rsidRDefault="00AF215D" w:rsidP="0038312D">
            <w:pPr>
              <w:spacing w:before="0"/>
              <w:jc w:val="left"/>
              <w:rPr>
                <w:rFonts w:ascii="Arial" w:eastAsia="Arial" w:hAnsi="Arial" w:cs="Arial"/>
                <w:b/>
                <w:sz w:val="22"/>
              </w:rPr>
            </w:pPr>
            <w:r w:rsidRPr="00805881">
              <w:rPr>
                <w:rFonts w:ascii="Arial" w:hAnsi="Arial" w:cs="Arial"/>
                <w:b/>
                <w:bCs/>
                <w:color w:val="000000"/>
                <w:sz w:val="22"/>
              </w:rPr>
              <w:t>Benefit Differences</w:t>
            </w:r>
          </w:p>
        </w:tc>
        <w:tc>
          <w:tcPr>
            <w:tcW w:w="955" w:type="pct"/>
            <w:vAlign w:val="center"/>
          </w:tcPr>
          <w:p w14:paraId="71FA7600"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c>
          <w:tcPr>
            <w:tcW w:w="1027" w:type="pct"/>
            <w:vAlign w:val="center"/>
          </w:tcPr>
          <w:p w14:paraId="308DC840"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r>
      <w:tr w:rsidR="00AF215D" w:rsidRPr="00C97048" w14:paraId="6B6FF64B" w14:textId="77777777" w:rsidTr="00805881">
        <w:trPr>
          <w:trHeight w:val="425"/>
          <w:jc w:val="center"/>
        </w:trPr>
        <w:tc>
          <w:tcPr>
            <w:tcW w:w="3019" w:type="pct"/>
            <w:vAlign w:val="center"/>
          </w:tcPr>
          <w:p w14:paraId="487EF57B"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Hearing Aid Coverage</w:t>
            </w:r>
          </w:p>
        </w:tc>
        <w:tc>
          <w:tcPr>
            <w:tcW w:w="955" w:type="pct"/>
            <w:vAlign w:val="center"/>
          </w:tcPr>
          <w:p w14:paraId="499C3AFC"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0.10%</w:t>
            </w:r>
          </w:p>
        </w:tc>
        <w:tc>
          <w:tcPr>
            <w:tcW w:w="1027" w:type="pct"/>
            <w:vAlign w:val="center"/>
          </w:tcPr>
          <w:p w14:paraId="098FC472" w14:textId="77777777" w:rsidR="00AF215D" w:rsidRPr="00805881" w:rsidRDefault="00AF215D" w:rsidP="0038312D">
            <w:pPr>
              <w:spacing w:before="0"/>
              <w:jc w:val="right"/>
              <w:rPr>
                <w:rFonts w:ascii="Arial" w:eastAsia="Arial" w:hAnsi="Arial" w:cs="Arial"/>
                <w:sz w:val="22"/>
              </w:rPr>
            </w:pPr>
          </w:p>
        </w:tc>
      </w:tr>
      <w:tr w:rsidR="00AF215D" w:rsidRPr="00C97048" w14:paraId="69444C25" w14:textId="77777777" w:rsidTr="00805881">
        <w:trPr>
          <w:trHeight w:val="425"/>
          <w:jc w:val="center"/>
        </w:trPr>
        <w:tc>
          <w:tcPr>
            <w:tcW w:w="3019" w:type="pct"/>
            <w:vAlign w:val="center"/>
          </w:tcPr>
          <w:p w14:paraId="414893E2" w14:textId="77777777" w:rsidR="00AF215D" w:rsidRPr="00805881" w:rsidRDefault="00AF215D" w:rsidP="0038312D">
            <w:pPr>
              <w:spacing w:before="0"/>
              <w:jc w:val="left"/>
              <w:rPr>
                <w:color w:val="000000"/>
                <w:sz w:val="22"/>
              </w:rPr>
            </w:pPr>
            <w:r w:rsidRPr="00805881">
              <w:rPr>
                <w:rFonts w:ascii="Arial" w:hAnsi="Arial" w:cs="Arial"/>
                <w:color w:val="000000"/>
                <w:sz w:val="22"/>
              </w:rPr>
              <w:t>Infertility Treatment</w:t>
            </w:r>
          </w:p>
        </w:tc>
        <w:tc>
          <w:tcPr>
            <w:tcW w:w="955" w:type="pct"/>
            <w:vAlign w:val="center"/>
          </w:tcPr>
          <w:p w14:paraId="185E09AA" w14:textId="77777777" w:rsidR="00AF215D" w:rsidRPr="00805881" w:rsidRDefault="00AF215D" w:rsidP="0038312D">
            <w:pPr>
              <w:spacing w:before="0"/>
              <w:jc w:val="right"/>
              <w:rPr>
                <w:color w:val="000000"/>
                <w:sz w:val="22"/>
              </w:rPr>
            </w:pPr>
          </w:p>
        </w:tc>
        <w:tc>
          <w:tcPr>
            <w:tcW w:w="1027" w:type="pct"/>
            <w:vAlign w:val="center"/>
          </w:tcPr>
          <w:p w14:paraId="6AA579F3" w14:textId="77777777" w:rsidR="00AF215D" w:rsidRPr="00805881" w:rsidRDefault="00AF215D" w:rsidP="0038312D">
            <w:pPr>
              <w:spacing w:before="0"/>
              <w:jc w:val="right"/>
              <w:rPr>
                <w:color w:val="000000"/>
                <w:sz w:val="22"/>
              </w:rPr>
            </w:pPr>
            <w:r w:rsidRPr="00805881">
              <w:rPr>
                <w:rFonts w:ascii="Arial" w:hAnsi="Arial" w:cs="Arial"/>
                <w:color w:val="000000"/>
                <w:sz w:val="22"/>
              </w:rPr>
              <w:t>0.81%</w:t>
            </w:r>
          </w:p>
        </w:tc>
      </w:tr>
      <w:tr w:rsidR="00AF215D" w:rsidRPr="00C97048" w14:paraId="1A5A91DD" w14:textId="77777777" w:rsidTr="00805881">
        <w:trPr>
          <w:trHeight w:val="425"/>
          <w:jc w:val="center"/>
        </w:trPr>
        <w:tc>
          <w:tcPr>
            <w:tcW w:w="3019" w:type="pct"/>
            <w:vAlign w:val="center"/>
          </w:tcPr>
          <w:p w14:paraId="7C2A24B8"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Acupuncture</w:t>
            </w:r>
          </w:p>
        </w:tc>
        <w:tc>
          <w:tcPr>
            <w:tcW w:w="955" w:type="pct"/>
            <w:vAlign w:val="center"/>
          </w:tcPr>
          <w:p w14:paraId="77CF9BA7" w14:textId="77777777" w:rsidR="00AF215D" w:rsidRPr="00805881" w:rsidRDefault="00AF215D" w:rsidP="0038312D">
            <w:pPr>
              <w:spacing w:before="0"/>
              <w:jc w:val="right"/>
              <w:rPr>
                <w:rFonts w:ascii="Arial" w:eastAsia="Arial" w:hAnsi="Arial" w:cs="Arial"/>
                <w:sz w:val="22"/>
              </w:rPr>
            </w:pPr>
            <w:r w:rsidRPr="00805881">
              <w:rPr>
                <w:rFonts w:ascii="Arial" w:hAnsi="Arial" w:cs="Arial"/>
                <w:sz w:val="22"/>
              </w:rPr>
              <w:t> </w:t>
            </w:r>
          </w:p>
        </w:tc>
        <w:tc>
          <w:tcPr>
            <w:tcW w:w="1027" w:type="pct"/>
            <w:vAlign w:val="center"/>
          </w:tcPr>
          <w:p w14:paraId="72935CC3"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0.33%</w:t>
            </w:r>
          </w:p>
        </w:tc>
      </w:tr>
      <w:tr w:rsidR="00AF215D" w:rsidRPr="00C97048" w14:paraId="2E116B6B" w14:textId="77777777" w:rsidTr="00805881">
        <w:trPr>
          <w:trHeight w:val="425"/>
          <w:jc w:val="center"/>
        </w:trPr>
        <w:tc>
          <w:tcPr>
            <w:tcW w:w="3019" w:type="pct"/>
            <w:vAlign w:val="center"/>
          </w:tcPr>
          <w:p w14:paraId="1F9A89DA"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Chiropractic Care</w:t>
            </w:r>
          </w:p>
        </w:tc>
        <w:tc>
          <w:tcPr>
            <w:tcW w:w="955" w:type="pct"/>
            <w:vAlign w:val="center"/>
          </w:tcPr>
          <w:p w14:paraId="06A73D60" w14:textId="77777777" w:rsidR="00AF215D" w:rsidRPr="00805881" w:rsidRDefault="00AF215D" w:rsidP="0038312D">
            <w:pPr>
              <w:spacing w:before="0"/>
              <w:jc w:val="right"/>
              <w:rPr>
                <w:rFonts w:ascii="Arial" w:eastAsia="Arial" w:hAnsi="Arial" w:cs="Arial"/>
                <w:sz w:val="22"/>
              </w:rPr>
            </w:pPr>
            <w:r w:rsidRPr="00805881">
              <w:rPr>
                <w:rFonts w:ascii="Arial" w:hAnsi="Arial" w:cs="Arial"/>
                <w:sz w:val="22"/>
              </w:rPr>
              <w:t> </w:t>
            </w:r>
          </w:p>
        </w:tc>
        <w:tc>
          <w:tcPr>
            <w:tcW w:w="1027" w:type="pct"/>
            <w:vAlign w:val="center"/>
          </w:tcPr>
          <w:p w14:paraId="58EA42CC"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0.07%</w:t>
            </w:r>
          </w:p>
        </w:tc>
      </w:tr>
      <w:tr w:rsidR="00AF215D" w:rsidRPr="00C97048" w14:paraId="205078C4" w14:textId="77777777" w:rsidTr="00805881">
        <w:trPr>
          <w:trHeight w:val="425"/>
          <w:jc w:val="center"/>
        </w:trPr>
        <w:tc>
          <w:tcPr>
            <w:tcW w:w="3019" w:type="pct"/>
            <w:vAlign w:val="center"/>
          </w:tcPr>
          <w:p w14:paraId="6D52C382"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Physical, Speech, and Occupational Therapy</w:t>
            </w:r>
          </w:p>
        </w:tc>
        <w:tc>
          <w:tcPr>
            <w:tcW w:w="955" w:type="pct"/>
            <w:vAlign w:val="center"/>
          </w:tcPr>
          <w:p w14:paraId="1B2331B0" w14:textId="77777777" w:rsidR="00AF215D" w:rsidRPr="00805881" w:rsidRDefault="00AF215D" w:rsidP="0038312D">
            <w:pPr>
              <w:spacing w:before="0"/>
              <w:jc w:val="right"/>
              <w:rPr>
                <w:rFonts w:ascii="Arial" w:eastAsia="Arial" w:hAnsi="Arial" w:cs="Arial"/>
                <w:sz w:val="22"/>
              </w:rPr>
            </w:pPr>
            <w:r w:rsidRPr="00805881">
              <w:rPr>
                <w:rFonts w:ascii="Arial" w:hAnsi="Arial" w:cs="Arial"/>
                <w:sz w:val="22"/>
              </w:rPr>
              <w:t> </w:t>
            </w:r>
          </w:p>
        </w:tc>
        <w:tc>
          <w:tcPr>
            <w:tcW w:w="1027" w:type="pct"/>
            <w:vAlign w:val="center"/>
          </w:tcPr>
          <w:p w14:paraId="3035F04D"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xml:space="preserve"> 0.01%</w:t>
            </w:r>
          </w:p>
        </w:tc>
      </w:tr>
      <w:tr w:rsidR="00AF215D" w:rsidRPr="00C97048" w14:paraId="6405971C" w14:textId="77777777" w:rsidTr="00805881">
        <w:trPr>
          <w:trHeight w:val="425"/>
          <w:jc w:val="center"/>
        </w:trPr>
        <w:tc>
          <w:tcPr>
            <w:tcW w:w="3019" w:type="pct"/>
            <w:vAlign w:val="center"/>
          </w:tcPr>
          <w:p w14:paraId="23AD3358" w14:textId="77777777" w:rsidR="00AF215D" w:rsidRPr="00805881" w:rsidRDefault="00AF215D" w:rsidP="0038312D">
            <w:pPr>
              <w:spacing w:before="0"/>
              <w:jc w:val="left"/>
              <w:rPr>
                <w:rFonts w:ascii="Arial" w:eastAsia="Arial" w:hAnsi="Arial" w:cs="Arial"/>
                <w:sz w:val="22"/>
              </w:rPr>
            </w:pPr>
            <w:r w:rsidRPr="00805881">
              <w:rPr>
                <w:rFonts w:ascii="Arial" w:hAnsi="Arial" w:cs="Arial"/>
                <w:color w:val="000000"/>
                <w:sz w:val="22"/>
              </w:rPr>
              <w:t>Massage Therapy</w:t>
            </w:r>
          </w:p>
        </w:tc>
        <w:tc>
          <w:tcPr>
            <w:tcW w:w="955" w:type="pct"/>
            <w:vAlign w:val="center"/>
          </w:tcPr>
          <w:p w14:paraId="46977FE0"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 </w:t>
            </w:r>
          </w:p>
        </w:tc>
        <w:tc>
          <w:tcPr>
            <w:tcW w:w="1027" w:type="pct"/>
            <w:vAlign w:val="center"/>
          </w:tcPr>
          <w:p w14:paraId="3D118419" w14:textId="77777777" w:rsidR="00AF215D" w:rsidRPr="00805881" w:rsidRDefault="00AF215D" w:rsidP="0038312D">
            <w:pPr>
              <w:spacing w:before="0"/>
              <w:jc w:val="right"/>
              <w:rPr>
                <w:rFonts w:ascii="Arial" w:eastAsia="Arial" w:hAnsi="Arial" w:cs="Arial"/>
                <w:sz w:val="22"/>
              </w:rPr>
            </w:pPr>
            <w:r w:rsidRPr="00805881">
              <w:rPr>
                <w:rFonts w:ascii="Arial" w:hAnsi="Arial" w:cs="Arial"/>
                <w:color w:val="000000"/>
                <w:sz w:val="22"/>
              </w:rPr>
              <w:t>0.01%</w:t>
            </w:r>
          </w:p>
        </w:tc>
      </w:tr>
      <w:tr w:rsidR="00AF215D" w:rsidRPr="00C97048" w14:paraId="3D81B98E" w14:textId="77777777" w:rsidTr="00805881">
        <w:trPr>
          <w:trHeight w:val="425"/>
          <w:jc w:val="center"/>
        </w:trPr>
        <w:tc>
          <w:tcPr>
            <w:tcW w:w="3019" w:type="pct"/>
            <w:vAlign w:val="center"/>
          </w:tcPr>
          <w:p w14:paraId="4582F9D1" w14:textId="77777777" w:rsidR="00AF215D" w:rsidRPr="00805881" w:rsidRDefault="00AF215D" w:rsidP="0038312D">
            <w:pPr>
              <w:spacing w:before="0"/>
              <w:jc w:val="left"/>
              <w:rPr>
                <w:b/>
                <w:bCs/>
                <w:color w:val="000000"/>
                <w:sz w:val="22"/>
              </w:rPr>
            </w:pPr>
            <w:r w:rsidRPr="00805881">
              <w:rPr>
                <w:rFonts w:ascii="Arial" w:hAnsi="Arial" w:cs="Arial"/>
                <w:color w:val="000000"/>
                <w:sz w:val="22"/>
              </w:rPr>
              <w:t xml:space="preserve">All Other Benefit Variances </w:t>
            </w:r>
          </w:p>
        </w:tc>
        <w:tc>
          <w:tcPr>
            <w:tcW w:w="955" w:type="pct"/>
            <w:vAlign w:val="center"/>
          </w:tcPr>
          <w:p w14:paraId="4CB6AF4D" w14:textId="77777777" w:rsidR="00AF215D" w:rsidRPr="00805881" w:rsidRDefault="00AF215D" w:rsidP="0038312D">
            <w:pPr>
              <w:spacing w:before="0"/>
              <w:jc w:val="right"/>
              <w:rPr>
                <w:b/>
                <w:bCs/>
                <w:color w:val="000000"/>
                <w:sz w:val="22"/>
              </w:rPr>
            </w:pPr>
            <w:r w:rsidRPr="00805881">
              <w:rPr>
                <w:rFonts w:ascii="Arial" w:hAnsi="Arial" w:cs="Arial"/>
                <w:color w:val="000000"/>
                <w:sz w:val="22"/>
              </w:rPr>
              <w:t> </w:t>
            </w:r>
          </w:p>
        </w:tc>
        <w:tc>
          <w:tcPr>
            <w:tcW w:w="1027" w:type="pct"/>
            <w:vAlign w:val="center"/>
          </w:tcPr>
          <w:p w14:paraId="176FF7CA" w14:textId="77777777" w:rsidR="00AF215D" w:rsidRPr="00805881" w:rsidRDefault="00AF215D" w:rsidP="0038312D">
            <w:pPr>
              <w:spacing w:before="0"/>
              <w:jc w:val="right"/>
              <w:rPr>
                <w:b/>
                <w:bCs/>
                <w:color w:val="000000"/>
                <w:sz w:val="22"/>
              </w:rPr>
            </w:pPr>
            <w:r w:rsidRPr="00805881">
              <w:rPr>
                <w:rFonts w:ascii="Arial" w:hAnsi="Arial" w:cs="Arial"/>
                <w:color w:val="000000"/>
                <w:sz w:val="22"/>
              </w:rPr>
              <w:t>0.00%</w:t>
            </w:r>
          </w:p>
        </w:tc>
      </w:tr>
      <w:tr w:rsidR="00AF215D" w:rsidRPr="00C97048" w14:paraId="07D5995B" w14:textId="77777777" w:rsidTr="00805881">
        <w:trPr>
          <w:trHeight w:val="425"/>
          <w:jc w:val="center"/>
        </w:trPr>
        <w:tc>
          <w:tcPr>
            <w:tcW w:w="3019" w:type="pct"/>
            <w:vAlign w:val="center"/>
          </w:tcPr>
          <w:p w14:paraId="34B846C4" w14:textId="77777777" w:rsidR="00AF215D" w:rsidRPr="00805881" w:rsidRDefault="00AF215D" w:rsidP="0038312D">
            <w:pPr>
              <w:spacing w:before="0"/>
              <w:jc w:val="left"/>
              <w:rPr>
                <w:rFonts w:ascii="Arial" w:hAnsi="Arial" w:cs="Arial"/>
                <w:color w:val="000000"/>
                <w:sz w:val="22"/>
              </w:rPr>
            </w:pPr>
            <w:r w:rsidRPr="00805881">
              <w:rPr>
                <w:rFonts w:ascii="Arial" w:hAnsi="Arial" w:cs="Arial"/>
                <w:b/>
                <w:bCs/>
                <w:color w:val="000000"/>
                <w:sz w:val="22"/>
              </w:rPr>
              <w:t>Total Value of Plan</w:t>
            </w:r>
          </w:p>
        </w:tc>
        <w:tc>
          <w:tcPr>
            <w:tcW w:w="955" w:type="pct"/>
            <w:vAlign w:val="center"/>
          </w:tcPr>
          <w:p w14:paraId="1C7FA04D" w14:textId="77777777" w:rsidR="00AF215D" w:rsidRPr="00805881" w:rsidRDefault="00AF215D" w:rsidP="0038312D">
            <w:pPr>
              <w:spacing w:before="0"/>
              <w:jc w:val="right"/>
              <w:rPr>
                <w:rFonts w:ascii="Arial" w:hAnsi="Arial" w:cs="Arial"/>
                <w:color w:val="000000"/>
                <w:sz w:val="22"/>
              </w:rPr>
            </w:pPr>
            <w:r w:rsidRPr="00805881">
              <w:rPr>
                <w:rFonts w:ascii="Arial" w:hAnsi="Arial" w:cs="Arial"/>
                <w:b/>
                <w:bCs/>
                <w:color w:val="000000"/>
                <w:sz w:val="22"/>
              </w:rPr>
              <w:t>100.10%</w:t>
            </w:r>
          </w:p>
        </w:tc>
        <w:tc>
          <w:tcPr>
            <w:tcW w:w="1027" w:type="pct"/>
            <w:vAlign w:val="center"/>
          </w:tcPr>
          <w:p w14:paraId="67356E4E" w14:textId="4A919FC6" w:rsidR="00AF215D" w:rsidRPr="00805881" w:rsidRDefault="00AF215D" w:rsidP="0038312D">
            <w:pPr>
              <w:spacing w:before="0"/>
              <w:jc w:val="right"/>
              <w:rPr>
                <w:rFonts w:ascii="Arial" w:hAnsi="Arial" w:cs="Arial"/>
                <w:color w:val="000000"/>
                <w:sz w:val="22"/>
              </w:rPr>
            </w:pPr>
            <w:r w:rsidRPr="00805881">
              <w:rPr>
                <w:rFonts w:ascii="Arial" w:hAnsi="Arial" w:cs="Arial"/>
                <w:b/>
                <w:bCs/>
                <w:color w:val="000000"/>
                <w:sz w:val="22"/>
              </w:rPr>
              <w:t>101.23%</w:t>
            </w:r>
          </w:p>
        </w:tc>
      </w:tr>
    </w:tbl>
    <w:p w14:paraId="481A43BC" w14:textId="206E7AE8" w:rsidR="00184AF4" w:rsidRDefault="00184AF4" w:rsidP="00E06409">
      <w:pPr>
        <w:pStyle w:val="Heading1"/>
      </w:pPr>
      <w:bookmarkStart w:id="11" w:name="_lnxbz9" w:colFirst="0" w:colLast="0"/>
      <w:bookmarkStart w:id="12" w:name="_Toc100737833"/>
      <w:bookmarkEnd w:id="11"/>
      <w:r>
        <w:lastRenderedPageBreak/>
        <w:t>Conclusion</w:t>
      </w:r>
      <w:bookmarkEnd w:id="12"/>
    </w:p>
    <w:p w14:paraId="5273CA66" w14:textId="7C783A70" w:rsidR="00184AF4" w:rsidRDefault="00184AF4" w:rsidP="006F1136">
      <w:pPr>
        <w:keepNext/>
        <w:keepLines/>
      </w:pPr>
      <w:r>
        <w:t>The analysis and results presented in this report</w:t>
      </w:r>
      <w:r w:rsidR="006F1136">
        <w:t>, particularly Tables 4 and 5,</w:t>
      </w:r>
      <w:r>
        <w:t xml:space="preserve"> show the proposed benchmark plan </w:t>
      </w:r>
      <w:r w:rsidR="00AF215D">
        <w:t xml:space="preserve">satisfies the actuarial requirements as stated in 45 CFR </w:t>
      </w:r>
      <w:r w:rsidR="00AF215D">
        <w:rPr>
          <w:highlight w:val="white"/>
        </w:rPr>
        <w:t>156.111</w:t>
      </w:r>
      <w:r>
        <w:t xml:space="preserve">. </w:t>
      </w:r>
      <w:r w:rsidR="00AF215D">
        <w:t xml:space="preserve">Furthermore, the methodology and adjustments used to produce the results are reasonable and </w:t>
      </w:r>
      <w:proofErr w:type="gramStart"/>
      <w:r w:rsidR="00AF215D">
        <w:t>are in compliance with</w:t>
      </w:r>
      <w:proofErr w:type="gramEnd"/>
      <w:r w:rsidR="00AF215D">
        <w:t xml:space="preserve"> Actuarial Standards of Practices (ASOPs). Therefore, we believe the proposed benchmark plan, this report, and associated documents satisfy all requirements </w:t>
      </w:r>
      <w:r w:rsidR="006F1136">
        <w:t xml:space="preserve">for </w:t>
      </w:r>
      <w:r w:rsidR="00AF215D">
        <w:t xml:space="preserve">Vermont’s 2024 Essential Health Benefit Benchmark Plan pending CMS approval. </w:t>
      </w:r>
    </w:p>
    <w:p w14:paraId="442D8A0A" w14:textId="7BB1A0AB" w:rsidR="00184AF4" w:rsidRDefault="00184AF4">
      <w:pPr>
        <w:rPr>
          <w:color w:val="263692"/>
          <w:sz w:val="32"/>
          <w:szCs w:val="32"/>
        </w:rPr>
      </w:pPr>
    </w:p>
    <w:p w14:paraId="2D527F6B" w14:textId="77777777" w:rsidR="006F1136" w:rsidRDefault="006F1136">
      <w:pPr>
        <w:rPr>
          <w:color w:val="263692"/>
          <w:sz w:val="44"/>
          <w:szCs w:val="44"/>
        </w:rPr>
      </w:pPr>
      <w:r>
        <w:rPr>
          <w:sz w:val="44"/>
          <w:szCs w:val="44"/>
        </w:rPr>
        <w:br w:type="page"/>
      </w:r>
    </w:p>
    <w:p w14:paraId="31EEBBF7" w14:textId="2EE9B066" w:rsidR="0038312D" w:rsidRPr="003E3AA7" w:rsidRDefault="0038312D" w:rsidP="0038312D">
      <w:pPr>
        <w:pStyle w:val="Appendix"/>
      </w:pPr>
      <w:bookmarkStart w:id="13" w:name="_Toc59450908"/>
      <w:bookmarkStart w:id="14" w:name="_Toc100737834"/>
      <w:r w:rsidRPr="003E3AA7">
        <w:lastRenderedPageBreak/>
        <w:t>Appendix A</w:t>
      </w:r>
      <w:bookmarkEnd w:id="13"/>
      <w:r>
        <w:t>: Data and Methodology</w:t>
      </w:r>
      <w:bookmarkEnd w:id="14"/>
    </w:p>
    <w:p w14:paraId="545591A0" w14:textId="3174F0A7" w:rsidR="000F3E45" w:rsidRDefault="00877B93" w:rsidP="00805881">
      <w:pPr>
        <w:pBdr>
          <w:top w:val="nil"/>
          <w:left w:val="nil"/>
          <w:bottom w:val="nil"/>
          <w:right w:val="nil"/>
          <w:between w:val="nil"/>
        </w:pBdr>
        <w:spacing w:before="200" w:after="0"/>
        <w:rPr>
          <w:color w:val="000000"/>
        </w:rPr>
      </w:pPr>
      <w:r>
        <w:rPr>
          <w:color w:val="000000"/>
        </w:rPr>
        <w:t xml:space="preserve">The Vermont DFR provided </w:t>
      </w:r>
      <w:proofErr w:type="spellStart"/>
      <w:r w:rsidR="00E15A2B" w:rsidRPr="00E15A2B">
        <w:rPr>
          <w:color w:val="000000"/>
        </w:rPr>
        <w:t>Wakely</w:t>
      </w:r>
      <w:proofErr w:type="spellEnd"/>
      <w:r w:rsidR="00E15A2B" w:rsidRPr="00E15A2B">
        <w:rPr>
          <w:color w:val="000000"/>
        </w:rPr>
        <w:t xml:space="preserve"> </w:t>
      </w:r>
      <w:r w:rsidR="00E15A2B">
        <w:rPr>
          <w:color w:val="000000"/>
        </w:rPr>
        <w:t>a data extract contain</w:t>
      </w:r>
      <w:r w:rsidR="005A3F1D">
        <w:rPr>
          <w:color w:val="000000"/>
        </w:rPr>
        <w:t>in</w:t>
      </w:r>
      <w:r w:rsidR="00E15A2B">
        <w:rPr>
          <w:color w:val="000000"/>
        </w:rPr>
        <w:t xml:space="preserve">g 2017 through 2020 enrollment, medical, and pharmacy detail from Vermont’s all-payer claims database (APCD) </w:t>
      </w:r>
      <w:r w:rsidR="000F3E45">
        <w:rPr>
          <w:color w:val="000000"/>
        </w:rPr>
        <w:t xml:space="preserve">- </w:t>
      </w:r>
      <w:r w:rsidR="00E15A2B" w:rsidRPr="00165D48">
        <w:rPr>
          <w:color w:val="000000"/>
        </w:rPr>
        <w:t xml:space="preserve">Vermont Health Care Uniform Reporting and </w:t>
      </w:r>
      <w:r w:rsidR="00CA1536" w:rsidRPr="00165D48">
        <w:rPr>
          <w:color w:val="000000"/>
        </w:rPr>
        <w:t>Evaluation</w:t>
      </w:r>
      <w:r w:rsidR="00E15A2B" w:rsidRPr="00165D48">
        <w:rPr>
          <w:color w:val="000000"/>
        </w:rPr>
        <w:t xml:space="preserve"> System (VHCURES)</w:t>
      </w:r>
      <w:r w:rsidR="00E15A2B" w:rsidRPr="00E15A2B">
        <w:rPr>
          <w:color w:val="000000"/>
        </w:rPr>
        <w:t xml:space="preserve">. </w:t>
      </w:r>
      <w:r>
        <w:rPr>
          <w:color w:val="000000"/>
        </w:rPr>
        <w:t xml:space="preserve">The VHCURES extract included </w:t>
      </w:r>
      <w:r w:rsidR="000F3E45">
        <w:rPr>
          <w:color w:val="000000"/>
        </w:rPr>
        <w:t xml:space="preserve">data from </w:t>
      </w:r>
      <w:r>
        <w:rPr>
          <w:color w:val="000000"/>
        </w:rPr>
        <w:t xml:space="preserve">ACA, state employee, and </w:t>
      </w:r>
      <w:proofErr w:type="gramStart"/>
      <w:r w:rsidR="000F3E45">
        <w:rPr>
          <w:color w:val="000000"/>
        </w:rPr>
        <w:t>fully-insured</w:t>
      </w:r>
      <w:proofErr w:type="gramEnd"/>
      <w:r w:rsidR="000F3E45">
        <w:rPr>
          <w:color w:val="000000"/>
        </w:rPr>
        <w:t xml:space="preserve"> </w:t>
      </w:r>
      <w:r>
        <w:rPr>
          <w:color w:val="000000"/>
        </w:rPr>
        <w:t xml:space="preserve">large group </w:t>
      </w:r>
      <w:r w:rsidR="000F3E45">
        <w:rPr>
          <w:color w:val="000000"/>
        </w:rPr>
        <w:t>lines of business</w:t>
      </w:r>
      <w:r>
        <w:rPr>
          <w:color w:val="000000"/>
        </w:rPr>
        <w:t xml:space="preserve">. </w:t>
      </w:r>
      <w:proofErr w:type="spellStart"/>
      <w:r>
        <w:rPr>
          <w:color w:val="000000"/>
        </w:rPr>
        <w:t>Wakely</w:t>
      </w:r>
      <w:proofErr w:type="spellEnd"/>
      <w:r>
        <w:rPr>
          <w:color w:val="000000"/>
        </w:rPr>
        <w:t xml:space="preserve"> used </w:t>
      </w:r>
      <w:r w:rsidR="00E15A2B">
        <w:rPr>
          <w:color w:val="000000"/>
        </w:rPr>
        <w:t>VHCURES</w:t>
      </w:r>
      <w:r w:rsidR="000F3E45">
        <w:rPr>
          <w:color w:val="000000"/>
        </w:rPr>
        <w:t xml:space="preserve"> </w:t>
      </w:r>
      <w:r w:rsidR="00E15A2B">
        <w:rPr>
          <w:color w:val="000000"/>
        </w:rPr>
        <w:t xml:space="preserve">as the primarily data source to estimate </w:t>
      </w:r>
      <w:r>
        <w:rPr>
          <w:color w:val="000000"/>
        </w:rPr>
        <w:t>benefit costs contained in this report</w:t>
      </w:r>
      <w:r w:rsidR="000F3E45">
        <w:rPr>
          <w:color w:val="000000"/>
        </w:rPr>
        <w:t xml:space="preserve">. </w:t>
      </w:r>
    </w:p>
    <w:p w14:paraId="0E227317" w14:textId="7F6F810D" w:rsidR="005A6EAB" w:rsidRPr="00DF04E2" w:rsidRDefault="000F3E45" w:rsidP="00805881">
      <w:pPr>
        <w:pBdr>
          <w:top w:val="nil"/>
          <w:left w:val="nil"/>
          <w:bottom w:val="nil"/>
          <w:right w:val="nil"/>
          <w:between w:val="nil"/>
        </w:pBdr>
        <w:spacing w:before="200" w:after="0"/>
        <w:rPr>
          <w:color w:val="000000"/>
        </w:rPr>
      </w:pPr>
      <w:r>
        <w:rPr>
          <w:color w:val="000000"/>
        </w:rPr>
        <w:t xml:space="preserve">Although the VHCURES data contained data for most benefits, certain benefits such as hearing aids </w:t>
      </w:r>
      <w:r w:rsidR="00205AB4">
        <w:rPr>
          <w:color w:val="000000"/>
        </w:rPr>
        <w:t xml:space="preserve">were either not present in the data or determined to have a more appropriate pricing source. </w:t>
      </w:r>
      <w:r>
        <w:rPr>
          <w:color w:val="000000"/>
        </w:rPr>
        <w:t xml:space="preserve">In </w:t>
      </w:r>
      <w:r w:rsidR="0027266D">
        <w:rPr>
          <w:color w:val="000000"/>
        </w:rPr>
        <w:t>these instance</w:t>
      </w:r>
      <w:r>
        <w:rPr>
          <w:color w:val="000000"/>
        </w:rPr>
        <w:t>s</w:t>
      </w:r>
      <w:r w:rsidRPr="00DF04E2">
        <w:rPr>
          <w:color w:val="000000"/>
        </w:rPr>
        <w:t xml:space="preserve">, </w:t>
      </w:r>
      <w:proofErr w:type="spellStart"/>
      <w:r w:rsidRPr="00DF04E2">
        <w:rPr>
          <w:color w:val="000000"/>
        </w:rPr>
        <w:t>Wakely</w:t>
      </w:r>
      <w:proofErr w:type="spellEnd"/>
      <w:r w:rsidRPr="00DF04E2">
        <w:rPr>
          <w:color w:val="000000"/>
        </w:rPr>
        <w:t xml:space="preserve"> Internal Databases (WIDs) and other internal databases were used to </w:t>
      </w:r>
      <w:r w:rsidR="005A6EAB" w:rsidRPr="00DF04E2">
        <w:rPr>
          <w:color w:val="000000"/>
        </w:rPr>
        <w:t xml:space="preserve">estimate benefit costs and </w:t>
      </w:r>
      <w:r w:rsidRPr="00DF04E2">
        <w:rPr>
          <w:color w:val="000000"/>
        </w:rPr>
        <w:t>make appropriate adjustments to the base information</w:t>
      </w:r>
      <w:r w:rsidR="005A6EAB" w:rsidRPr="00DF04E2">
        <w:rPr>
          <w:color w:val="000000"/>
        </w:rPr>
        <w:t xml:space="preserve">. The WID data repository is comprised of issuer EDGE server data and includes over 7 million member lives in 2018. The data itself is available at the </w:t>
      </w:r>
      <w:proofErr w:type="gramStart"/>
      <w:r w:rsidR="005A6EAB" w:rsidRPr="00DF04E2">
        <w:rPr>
          <w:color w:val="000000"/>
        </w:rPr>
        <w:t>Regional</w:t>
      </w:r>
      <w:proofErr w:type="gramEnd"/>
      <w:r w:rsidR="005A6EAB" w:rsidRPr="00DF04E2">
        <w:rPr>
          <w:color w:val="000000"/>
        </w:rPr>
        <w:t xml:space="preserve"> level; for this analysis we used the Northeast US region.</w:t>
      </w:r>
    </w:p>
    <w:p w14:paraId="2B273A28" w14:textId="06677D1D" w:rsidR="005A6EAB" w:rsidRPr="00DF04E2" w:rsidRDefault="005A6EAB" w:rsidP="00805881">
      <w:pPr>
        <w:pBdr>
          <w:top w:val="nil"/>
          <w:left w:val="nil"/>
          <w:bottom w:val="nil"/>
          <w:right w:val="nil"/>
          <w:between w:val="nil"/>
        </w:pBdr>
        <w:spacing w:before="200" w:after="0"/>
        <w:rPr>
          <w:color w:val="000000"/>
        </w:rPr>
      </w:pPr>
      <w:r w:rsidRPr="00DF04E2">
        <w:rPr>
          <w:color w:val="000000"/>
        </w:rPr>
        <w:t>For both VHCURE</w:t>
      </w:r>
      <w:r w:rsidR="003B5C2A">
        <w:rPr>
          <w:color w:val="000000"/>
        </w:rPr>
        <w:t>S</w:t>
      </w:r>
      <w:r w:rsidRPr="00DF04E2">
        <w:rPr>
          <w:color w:val="000000"/>
        </w:rPr>
        <w:t xml:space="preserve"> and WID data sources, </w:t>
      </w:r>
      <w:proofErr w:type="spellStart"/>
      <w:r w:rsidRPr="00DF04E2">
        <w:rPr>
          <w:color w:val="000000"/>
        </w:rPr>
        <w:t>Wakely</w:t>
      </w:r>
      <w:proofErr w:type="spellEnd"/>
      <w:r w:rsidRPr="00DF04E2">
        <w:rPr>
          <w:color w:val="000000"/>
        </w:rPr>
        <w:t xml:space="preserve"> pulled 2018 allowed information by service line and used this data to assess utilization and unit cost data for select benefits. We used information in the data including (but not limited to) CPT / HCPCS codes, Revenue Codes, Inpatient DRGs, and NDCs to estimate cost impacts and relativities. </w:t>
      </w:r>
      <w:proofErr w:type="spellStart"/>
      <w:r w:rsidRPr="00DF04E2">
        <w:rPr>
          <w:color w:val="000000"/>
        </w:rPr>
        <w:t>Wakely</w:t>
      </w:r>
      <w:proofErr w:type="spellEnd"/>
      <w:r w:rsidRPr="00DF04E2">
        <w:rPr>
          <w:color w:val="000000"/>
        </w:rPr>
        <w:t xml:space="preserve"> assumed the distribution of benefits and services is the same over time. </w:t>
      </w:r>
      <w:proofErr w:type="spellStart"/>
      <w:r w:rsidRPr="00DF04E2">
        <w:rPr>
          <w:color w:val="000000"/>
        </w:rPr>
        <w:t>Wakely</w:t>
      </w:r>
      <w:proofErr w:type="spellEnd"/>
      <w:r w:rsidRPr="00DF04E2">
        <w:rPr>
          <w:color w:val="000000"/>
        </w:rPr>
        <w:t xml:space="preserve"> focused on the percent of allowed cost impact to account for cost estimates being </w:t>
      </w:r>
      <w:r w:rsidR="00613B2D">
        <w:rPr>
          <w:color w:val="000000"/>
        </w:rPr>
        <w:t xml:space="preserve">made </w:t>
      </w:r>
      <w:r w:rsidRPr="00DF04E2">
        <w:rPr>
          <w:color w:val="000000"/>
        </w:rPr>
        <w:t>at different points in time.</w:t>
      </w:r>
    </w:p>
    <w:p w14:paraId="18023090" w14:textId="04A3CF6D" w:rsidR="000F3E45" w:rsidRPr="00DF04E2" w:rsidRDefault="00643BBA" w:rsidP="00805881">
      <w:pPr>
        <w:pBdr>
          <w:top w:val="nil"/>
          <w:left w:val="nil"/>
          <w:bottom w:val="nil"/>
          <w:right w:val="nil"/>
          <w:between w:val="nil"/>
        </w:pBdr>
        <w:spacing w:before="200" w:after="0"/>
        <w:rPr>
          <w:color w:val="000000"/>
        </w:rPr>
      </w:pPr>
      <w:r w:rsidRPr="00DF04E2">
        <w:rPr>
          <w:color w:val="000000"/>
        </w:rPr>
        <w:t xml:space="preserve">Once CPT-level (in some cases </w:t>
      </w:r>
      <w:r w:rsidR="005A3F1D">
        <w:rPr>
          <w:color w:val="000000"/>
        </w:rPr>
        <w:t xml:space="preserve">NDC &amp; </w:t>
      </w:r>
      <w:r w:rsidRPr="00DF04E2">
        <w:rPr>
          <w:color w:val="000000"/>
        </w:rPr>
        <w:t>member-level was also used) data was acquired, we made any appropriate adjustments to the base information</w:t>
      </w:r>
      <w:r w:rsidR="000F3E45" w:rsidRPr="00DF04E2">
        <w:rPr>
          <w:color w:val="000000"/>
        </w:rPr>
        <w:t xml:space="preserve"> in order to isolate the projected costs pursuant to the specific benefit recommendations outlined in prior sections of this document. Specific adjustments by EHB benefit may have included:</w:t>
      </w:r>
    </w:p>
    <w:p w14:paraId="270DBDB6" w14:textId="1F817526" w:rsidR="000F3E45" w:rsidRPr="00DF04E2" w:rsidRDefault="003900E4" w:rsidP="00805881">
      <w:pPr>
        <w:numPr>
          <w:ilvl w:val="0"/>
          <w:numId w:val="13"/>
        </w:numPr>
        <w:pBdr>
          <w:top w:val="nil"/>
          <w:left w:val="nil"/>
          <w:bottom w:val="nil"/>
          <w:right w:val="nil"/>
          <w:between w:val="nil"/>
        </w:pBdr>
        <w:spacing w:before="200" w:after="0"/>
        <w:ind w:left="720"/>
        <w:rPr>
          <w:color w:val="000000"/>
        </w:rPr>
      </w:pPr>
      <w:r>
        <w:rPr>
          <w:color w:val="000000"/>
        </w:rPr>
        <w:t>C</w:t>
      </w:r>
      <w:r w:rsidR="000F3E45" w:rsidRPr="00DF04E2">
        <w:rPr>
          <w:color w:val="000000"/>
        </w:rPr>
        <w:t>ost relativities between benefits and visit limits</w:t>
      </w:r>
    </w:p>
    <w:p w14:paraId="3851B407" w14:textId="1172A866" w:rsidR="00BC3F2D" w:rsidRDefault="000F3E45" w:rsidP="00805881">
      <w:pPr>
        <w:numPr>
          <w:ilvl w:val="0"/>
          <w:numId w:val="13"/>
        </w:numPr>
        <w:pBdr>
          <w:top w:val="nil"/>
          <w:left w:val="nil"/>
          <w:bottom w:val="nil"/>
          <w:right w:val="nil"/>
          <w:between w:val="nil"/>
        </w:pBdr>
        <w:spacing w:before="200" w:after="0"/>
        <w:ind w:left="720"/>
        <w:rPr>
          <w:color w:val="000000"/>
        </w:rPr>
      </w:pPr>
      <w:r w:rsidRPr="00DF04E2">
        <w:rPr>
          <w:color w:val="000000"/>
        </w:rPr>
        <w:t>Coverage utilization adjustments to account for specific benefits not being included in all state benchmarks within the region being analyzed</w:t>
      </w:r>
    </w:p>
    <w:p w14:paraId="76B30EF1" w14:textId="4C376FEA" w:rsidR="005A3F1D" w:rsidRPr="00D40400" w:rsidRDefault="005A3F1D" w:rsidP="00805881">
      <w:pPr>
        <w:numPr>
          <w:ilvl w:val="0"/>
          <w:numId w:val="13"/>
        </w:numPr>
        <w:pBdr>
          <w:top w:val="nil"/>
          <w:left w:val="nil"/>
          <w:bottom w:val="nil"/>
          <w:right w:val="nil"/>
          <w:between w:val="nil"/>
        </w:pBdr>
        <w:spacing w:before="200" w:after="0"/>
        <w:ind w:left="720"/>
        <w:rPr>
          <w:color w:val="000000"/>
        </w:rPr>
      </w:pPr>
      <w:r>
        <w:rPr>
          <w:color w:val="000000"/>
        </w:rPr>
        <w:t>Unit Cost adjustments to reflect coverage for only a portion of NDCs within a class</w:t>
      </w:r>
      <w:r w:rsidR="005C4ADD">
        <w:rPr>
          <w:color w:val="000000"/>
        </w:rPr>
        <w:t xml:space="preserve"> or for changes in drug offerings (e.g., more generics available compared to the data period)</w:t>
      </w:r>
      <w:r w:rsidR="00044497">
        <w:rPr>
          <w:color w:val="000000"/>
        </w:rPr>
        <w:t xml:space="preserve">, </w:t>
      </w:r>
      <w:r w:rsidR="00044497" w:rsidRPr="00D40400">
        <w:rPr>
          <w:color w:val="000000"/>
        </w:rPr>
        <w:t>where appropriate</w:t>
      </w:r>
    </w:p>
    <w:p w14:paraId="72000C85" w14:textId="25F56463" w:rsidR="00BC3F2D" w:rsidRPr="00451C01" w:rsidRDefault="001A2849" w:rsidP="00805881">
      <w:pPr>
        <w:spacing w:before="200" w:after="0"/>
      </w:pPr>
      <w:r w:rsidRPr="00451C01">
        <w:t xml:space="preserve">For the pediatric dental and vision benefit differences, </w:t>
      </w:r>
      <w:proofErr w:type="spellStart"/>
      <w:r w:rsidRPr="00451C01">
        <w:t>Wakely</w:t>
      </w:r>
      <w:proofErr w:type="spellEnd"/>
      <w:r w:rsidRPr="00451C01">
        <w:t xml:space="preserve"> relied on additional data resources. For the dental benefits, </w:t>
      </w:r>
      <w:proofErr w:type="spellStart"/>
      <w:r w:rsidRPr="00451C01">
        <w:t>Wakely</w:t>
      </w:r>
      <w:proofErr w:type="spellEnd"/>
      <w:r w:rsidRPr="00451C01">
        <w:t xml:space="preserve"> relied on a proprietary dental model to value the difference in benefits. The model was set to the same year as the </w:t>
      </w:r>
      <w:r w:rsidR="005A6EAB">
        <w:t xml:space="preserve">VHCURES and </w:t>
      </w:r>
      <w:r w:rsidRPr="00451C01">
        <w:t xml:space="preserve">WID data </w:t>
      </w:r>
      <w:r w:rsidR="005A6EAB">
        <w:t xml:space="preserve">used </w:t>
      </w:r>
      <w:r w:rsidRPr="00451C01">
        <w:t xml:space="preserve">to align the percent of allowed cost estimates. The data was also calibrated to the </w:t>
      </w:r>
      <w:r w:rsidR="00C3427E" w:rsidRPr="00451C01">
        <w:t xml:space="preserve">northeast </w:t>
      </w:r>
      <w:r w:rsidRPr="00451C01">
        <w:t xml:space="preserve">region similar to the medical benefit analysis. Finally, based on estimates that </w:t>
      </w:r>
      <w:r w:rsidR="00EB5BB6" w:rsidRPr="00451C01">
        <w:t xml:space="preserve">children </w:t>
      </w:r>
      <w:r w:rsidR="00EB5BB6">
        <w:t xml:space="preserve">account for approximately 16% of </w:t>
      </w:r>
      <w:r w:rsidR="000029F8" w:rsidRPr="00451C01">
        <w:t>Vermont</w:t>
      </w:r>
      <w:r w:rsidRPr="00451C01">
        <w:t xml:space="preserve"> on-Exchange enrollment, the value of the benefit was reduced to spread the costs over the entire ACA population.</w:t>
      </w:r>
    </w:p>
    <w:p w14:paraId="06ED3E76" w14:textId="46790B3D" w:rsidR="00BC3F2D" w:rsidRPr="00451C01" w:rsidRDefault="001A2849" w:rsidP="00805881">
      <w:pPr>
        <w:spacing w:before="200" w:after="0"/>
        <w:rPr>
          <w:sz w:val="44"/>
          <w:szCs w:val="44"/>
        </w:rPr>
      </w:pPr>
      <w:r w:rsidRPr="00451C01">
        <w:lastRenderedPageBreak/>
        <w:t xml:space="preserve">For the vision benefit, </w:t>
      </w:r>
      <w:proofErr w:type="spellStart"/>
      <w:r w:rsidRPr="00451C01">
        <w:t>Wakely</w:t>
      </w:r>
      <w:proofErr w:type="spellEnd"/>
      <w:r w:rsidRPr="00451C01">
        <w:t xml:space="preserve"> utilized its proprietary vision experience </w:t>
      </w:r>
      <w:r w:rsidR="00EB5BB6">
        <w:t xml:space="preserve">data </w:t>
      </w:r>
      <w:r w:rsidRPr="00451C01">
        <w:t xml:space="preserve">and public information to estimate the utilization and unit cost of vision hardware </w:t>
      </w:r>
      <w:r w:rsidR="003E7024" w:rsidRPr="00451C01">
        <w:t>for children</w:t>
      </w:r>
      <w:r w:rsidRPr="00451C01">
        <w:t xml:space="preserve">. </w:t>
      </w:r>
      <w:proofErr w:type="spellStart"/>
      <w:r w:rsidRPr="00451C01">
        <w:t>Wakely</w:t>
      </w:r>
      <w:proofErr w:type="spellEnd"/>
      <w:r w:rsidRPr="00451C01">
        <w:t xml:space="preserve"> assumed that not all children would get new hardware annually, even if the benefit allowed and a range of reasonable assumptions and range of costs were developed. Similar to the dental analysis, the percent of allowed </w:t>
      </w:r>
      <w:r w:rsidR="00753284">
        <w:t xml:space="preserve">cost </w:t>
      </w:r>
      <w:r w:rsidRPr="00451C01">
        <w:t>was normalized to the medical experience and the cost spread across the entire ACA population.</w:t>
      </w:r>
    </w:p>
    <w:p w14:paraId="5681D6F5" w14:textId="77777777" w:rsidR="00BC3F2D" w:rsidRPr="00A341DB" w:rsidRDefault="001A2849">
      <w:pPr>
        <w:spacing w:before="280"/>
        <w:rPr>
          <w:highlight w:val="yellow"/>
        </w:rPr>
      </w:pPr>
      <w:r w:rsidRPr="00A341DB">
        <w:rPr>
          <w:highlight w:val="yellow"/>
        </w:rPr>
        <w:br w:type="page"/>
      </w:r>
    </w:p>
    <w:p w14:paraId="279AD647" w14:textId="714B1ABF" w:rsidR="00BC3F2D" w:rsidRPr="00165D48" w:rsidRDefault="001A2849" w:rsidP="00196490">
      <w:pPr>
        <w:pStyle w:val="Appendix"/>
      </w:pPr>
      <w:bookmarkStart w:id="15" w:name="_Toc100737835"/>
      <w:r w:rsidRPr="00165D48">
        <w:lastRenderedPageBreak/>
        <w:t xml:space="preserve">Appendix B: </w:t>
      </w:r>
      <w:proofErr w:type="spellStart"/>
      <w:r w:rsidRPr="00165D48">
        <w:t>Reliances</w:t>
      </w:r>
      <w:proofErr w:type="spellEnd"/>
      <w:r w:rsidRPr="00165D48">
        <w:t xml:space="preserve"> and Caveats</w:t>
      </w:r>
      <w:bookmarkEnd w:id="15"/>
    </w:p>
    <w:p w14:paraId="7A1B38EE" w14:textId="5E19694B" w:rsidR="00BC3F2D" w:rsidRPr="00165D48" w:rsidRDefault="001A2849" w:rsidP="00805881">
      <w:pPr>
        <w:spacing w:before="200" w:after="0"/>
      </w:pPr>
      <w:r w:rsidRPr="00165D48">
        <w:t xml:space="preserve">The following is a list of the data </w:t>
      </w:r>
      <w:proofErr w:type="spellStart"/>
      <w:r w:rsidRPr="00165D48">
        <w:t>Wakely</w:t>
      </w:r>
      <w:proofErr w:type="spellEnd"/>
      <w:r w:rsidRPr="00165D48">
        <w:t xml:space="preserve"> relied on for the analysis:</w:t>
      </w:r>
    </w:p>
    <w:p w14:paraId="01640C2F" w14:textId="132827C1" w:rsidR="00BC3F2D" w:rsidRPr="00165D48" w:rsidRDefault="00165D48" w:rsidP="00805881">
      <w:pPr>
        <w:numPr>
          <w:ilvl w:val="0"/>
          <w:numId w:val="14"/>
        </w:numPr>
        <w:pBdr>
          <w:top w:val="nil"/>
          <w:left w:val="nil"/>
          <w:bottom w:val="nil"/>
          <w:right w:val="nil"/>
          <w:between w:val="nil"/>
        </w:pBdr>
        <w:spacing w:before="200" w:after="0"/>
        <w:rPr>
          <w:color w:val="000000"/>
        </w:rPr>
      </w:pPr>
      <w:r w:rsidRPr="00165D48">
        <w:rPr>
          <w:color w:val="000000"/>
        </w:rPr>
        <w:t xml:space="preserve">A data extract provided by the State from the Vermont Health Care Uniform Reporting and </w:t>
      </w:r>
      <w:r w:rsidR="00CA1536" w:rsidRPr="00165D48">
        <w:rPr>
          <w:color w:val="000000"/>
        </w:rPr>
        <w:t>Evaluation</w:t>
      </w:r>
      <w:r w:rsidRPr="00165D48">
        <w:rPr>
          <w:color w:val="000000"/>
        </w:rPr>
        <w:t xml:space="preserve"> System (VHCURES)</w:t>
      </w:r>
      <w:r>
        <w:rPr>
          <w:color w:val="000000"/>
        </w:rPr>
        <w:t xml:space="preserve">, containing enrollment, medical, and pharmacy claims data for all payors in the state of Vermont for the period 2017 – 2020. </w:t>
      </w:r>
    </w:p>
    <w:p w14:paraId="605F5ED2" w14:textId="675D848E" w:rsidR="00BC3F2D" w:rsidRPr="00165D48" w:rsidRDefault="001A2849" w:rsidP="00805881">
      <w:pPr>
        <w:numPr>
          <w:ilvl w:val="0"/>
          <w:numId w:val="14"/>
        </w:numPr>
        <w:pBdr>
          <w:top w:val="nil"/>
          <w:left w:val="nil"/>
          <w:bottom w:val="nil"/>
          <w:right w:val="nil"/>
          <w:between w:val="nil"/>
        </w:pBdr>
        <w:spacing w:before="200" w:after="0"/>
        <w:rPr>
          <w:color w:val="000000"/>
        </w:rPr>
      </w:pPr>
      <w:r w:rsidRPr="00165D48">
        <w:rPr>
          <w:color w:val="000000"/>
        </w:rPr>
        <w:t>201</w:t>
      </w:r>
      <w:r w:rsidR="00303203" w:rsidRPr="00165D48">
        <w:rPr>
          <w:color w:val="000000"/>
        </w:rPr>
        <w:t>8</w:t>
      </w:r>
      <w:r w:rsidRPr="00165D48">
        <w:rPr>
          <w:color w:val="000000"/>
        </w:rPr>
        <w:t xml:space="preserve"> </w:t>
      </w:r>
      <w:proofErr w:type="spellStart"/>
      <w:r w:rsidRPr="00165D48">
        <w:rPr>
          <w:color w:val="000000"/>
        </w:rPr>
        <w:t>Wakely</w:t>
      </w:r>
      <w:proofErr w:type="spellEnd"/>
      <w:r w:rsidRPr="00165D48">
        <w:rPr>
          <w:color w:val="000000"/>
        </w:rPr>
        <w:t xml:space="preserve"> Internal Databases (WIDs)</w:t>
      </w:r>
    </w:p>
    <w:p w14:paraId="2D101EAE" w14:textId="0D1D51DD" w:rsidR="00BC3F2D" w:rsidRPr="00165D48" w:rsidRDefault="001A2849" w:rsidP="00805881">
      <w:pPr>
        <w:numPr>
          <w:ilvl w:val="0"/>
          <w:numId w:val="14"/>
        </w:numPr>
        <w:pBdr>
          <w:top w:val="nil"/>
          <w:left w:val="nil"/>
          <w:bottom w:val="nil"/>
          <w:right w:val="nil"/>
          <w:between w:val="nil"/>
        </w:pBdr>
        <w:spacing w:before="200" w:after="0"/>
        <w:rPr>
          <w:color w:val="000000"/>
        </w:rPr>
      </w:pPr>
      <w:r w:rsidRPr="00165D48">
        <w:rPr>
          <w:color w:val="000000"/>
        </w:rPr>
        <w:t xml:space="preserve">2017 </w:t>
      </w:r>
      <w:r w:rsidR="000029F8" w:rsidRPr="00165D48">
        <w:rPr>
          <w:color w:val="000000"/>
        </w:rPr>
        <w:t>Vermont</w:t>
      </w:r>
      <w:r w:rsidR="00165D48">
        <w:rPr>
          <w:color w:val="000000"/>
        </w:rPr>
        <w:t xml:space="preserve"> benchmark plan information, sourced from CMS</w:t>
      </w:r>
    </w:p>
    <w:p w14:paraId="5E75B96C" w14:textId="77777777" w:rsidR="00BC3F2D" w:rsidRPr="00831299" w:rsidRDefault="001A2849" w:rsidP="00805881">
      <w:pPr>
        <w:numPr>
          <w:ilvl w:val="0"/>
          <w:numId w:val="14"/>
        </w:numPr>
        <w:pBdr>
          <w:top w:val="nil"/>
          <w:left w:val="nil"/>
          <w:bottom w:val="nil"/>
          <w:right w:val="nil"/>
          <w:between w:val="nil"/>
        </w:pBdr>
        <w:spacing w:before="200" w:after="0"/>
        <w:rPr>
          <w:color w:val="000000"/>
        </w:rPr>
      </w:pPr>
      <w:r w:rsidRPr="00165D48">
        <w:rPr>
          <w:color w:val="000000"/>
        </w:rPr>
        <w:t>T</w:t>
      </w:r>
      <w:r w:rsidRPr="00831299">
        <w:rPr>
          <w:color w:val="000000"/>
        </w:rPr>
        <w:t>he benefits and formulary for select plans including:</w:t>
      </w:r>
    </w:p>
    <w:p w14:paraId="4747910F" w14:textId="35B61329" w:rsidR="00165D48" w:rsidRPr="00831299" w:rsidRDefault="00165D48" w:rsidP="00805881">
      <w:pPr>
        <w:numPr>
          <w:ilvl w:val="1"/>
          <w:numId w:val="14"/>
        </w:numPr>
        <w:pBdr>
          <w:top w:val="nil"/>
          <w:left w:val="nil"/>
          <w:bottom w:val="nil"/>
          <w:right w:val="nil"/>
          <w:between w:val="nil"/>
        </w:pBdr>
        <w:spacing w:before="200" w:after="0"/>
        <w:rPr>
          <w:color w:val="000000"/>
        </w:rPr>
      </w:pPr>
      <w:r w:rsidRPr="00831299">
        <w:t xml:space="preserve">Blue Cross Blue Shield of Vermont’s </w:t>
      </w:r>
      <w:proofErr w:type="spellStart"/>
      <w:r w:rsidRPr="00831299">
        <w:t>TotalChoice</w:t>
      </w:r>
      <w:proofErr w:type="spellEnd"/>
    </w:p>
    <w:p w14:paraId="29599872" w14:textId="70420544" w:rsidR="00165D48" w:rsidRPr="00831299" w:rsidRDefault="00165D48" w:rsidP="00805881">
      <w:pPr>
        <w:numPr>
          <w:ilvl w:val="1"/>
          <w:numId w:val="14"/>
        </w:numPr>
        <w:pBdr>
          <w:top w:val="nil"/>
          <w:left w:val="nil"/>
          <w:bottom w:val="nil"/>
          <w:right w:val="nil"/>
          <w:between w:val="nil"/>
        </w:pBdr>
        <w:spacing w:before="200" w:after="0"/>
        <w:rPr>
          <w:color w:val="000000"/>
        </w:rPr>
      </w:pPr>
      <w:r w:rsidRPr="00831299">
        <w:t>BlueCross BlueShield of Vermont Standard CDHP</w:t>
      </w:r>
      <w:r w:rsidRPr="00831299">
        <w:rPr>
          <w:color w:val="000000"/>
        </w:rPr>
        <w:t xml:space="preserve"> </w:t>
      </w:r>
    </w:p>
    <w:p w14:paraId="4345C94D" w14:textId="090D2520" w:rsidR="00165D48" w:rsidRPr="00831299" w:rsidRDefault="00165D48" w:rsidP="00805881">
      <w:pPr>
        <w:numPr>
          <w:ilvl w:val="1"/>
          <w:numId w:val="14"/>
        </w:numPr>
        <w:pBdr>
          <w:top w:val="nil"/>
          <w:left w:val="nil"/>
          <w:bottom w:val="nil"/>
          <w:right w:val="nil"/>
          <w:between w:val="nil"/>
        </w:pBdr>
        <w:spacing w:before="200" w:after="0"/>
        <w:rPr>
          <w:color w:val="000000"/>
        </w:rPr>
      </w:pPr>
      <w:r w:rsidRPr="00831299">
        <w:t xml:space="preserve">Blue Cross Blue Shield of Vermont Plan J with </w:t>
      </w:r>
      <w:r w:rsidR="00812357">
        <w:t>lifestyle and stomach acid drugs</w:t>
      </w:r>
    </w:p>
    <w:p w14:paraId="185BFD00" w14:textId="457AF07C" w:rsidR="00165D48" w:rsidRPr="00831299" w:rsidRDefault="00165D48" w:rsidP="00805881">
      <w:pPr>
        <w:numPr>
          <w:ilvl w:val="1"/>
          <w:numId w:val="14"/>
        </w:numPr>
        <w:pBdr>
          <w:top w:val="nil"/>
          <w:left w:val="nil"/>
          <w:bottom w:val="nil"/>
          <w:right w:val="nil"/>
          <w:between w:val="nil"/>
        </w:pBdr>
        <w:spacing w:before="200" w:after="0"/>
        <w:rPr>
          <w:color w:val="000000"/>
        </w:rPr>
      </w:pPr>
      <w:r w:rsidRPr="00831299">
        <w:t xml:space="preserve">Government Employees Health Association Inc. (GEHA) Benefit </w:t>
      </w:r>
    </w:p>
    <w:p w14:paraId="34D77FB1" w14:textId="2913335D" w:rsidR="00BC3F2D" w:rsidRPr="00831299" w:rsidRDefault="001A2849" w:rsidP="00805881">
      <w:pPr>
        <w:numPr>
          <w:ilvl w:val="1"/>
          <w:numId w:val="14"/>
        </w:numPr>
        <w:pBdr>
          <w:top w:val="nil"/>
          <w:left w:val="nil"/>
          <w:bottom w:val="nil"/>
          <w:right w:val="nil"/>
          <w:between w:val="nil"/>
        </w:pBdr>
        <w:spacing w:before="200" w:after="0"/>
        <w:rPr>
          <w:color w:val="000000"/>
        </w:rPr>
      </w:pPr>
      <w:r w:rsidRPr="00831299">
        <w:rPr>
          <w:color w:val="000000"/>
        </w:rPr>
        <w:t>Child Health Plan Plus (CHP+) Dent</w:t>
      </w:r>
      <w:r w:rsidR="00831299" w:rsidRPr="00831299">
        <w:rPr>
          <w:color w:val="000000"/>
        </w:rPr>
        <w:t>al</w:t>
      </w:r>
    </w:p>
    <w:p w14:paraId="4A4A7CC5" w14:textId="15BF5B34" w:rsidR="00BC3F2D" w:rsidRPr="00831299" w:rsidRDefault="001A2849" w:rsidP="00805881">
      <w:pPr>
        <w:numPr>
          <w:ilvl w:val="1"/>
          <w:numId w:val="14"/>
        </w:numPr>
        <w:pBdr>
          <w:top w:val="nil"/>
          <w:left w:val="nil"/>
          <w:bottom w:val="nil"/>
          <w:right w:val="nil"/>
          <w:between w:val="nil"/>
        </w:pBdr>
        <w:spacing w:before="200" w:after="0"/>
        <w:rPr>
          <w:color w:val="000000"/>
        </w:rPr>
      </w:pPr>
      <w:r w:rsidRPr="00831299">
        <w:rPr>
          <w:color w:val="000000"/>
        </w:rPr>
        <w:t>Met</w:t>
      </w:r>
      <w:r w:rsidR="00B45798" w:rsidRPr="00831299">
        <w:rPr>
          <w:color w:val="000000"/>
        </w:rPr>
        <w:t>L</w:t>
      </w:r>
      <w:r w:rsidRPr="00831299">
        <w:rPr>
          <w:color w:val="000000"/>
        </w:rPr>
        <w:t xml:space="preserve">ife Federal Dental </w:t>
      </w:r>
    </w:p>
    <w:p w14:paraId="26A178BF" w14:textId="1923191B" w:rsidR="00BC3F2D" w:rsidRPr="00831299" w:rsidRDefault="001A2849" w:rsidP="00805881">
      <w:pPr>
        <w:numPr>
          <w:ilvl w:val="1"/>
          <w:numId w:val="14"/>
        </w:numPr>
        <w:pBdr>
          <w:top w:val="nil"/>
          <w:left w:val="nil"/>
          <w:bottom w:val="nil"/>
          <w:right w:val="nil"/>
          <w:between w:val="nil"/>
        </w:pBdr>
        <w:spacing w:before="200" w:after="0"/>
        <w:rPr>
          <w:color w:val="000000"/>
        </w:rPr>
      </w:pPr>
      <w:r w:rsidRPr="00831299">
        <w:rPr>
          <w:color w:val="000000"/>
        </w:rPr>
        <w:t>F</w:t>
      </w:r>
      <w:r w:rsidR="00831299" w:rsidRPr="00831299">
        <w:rPr>
          <w:color w:val="000000"/>
        </w:rPr>
        <w:t>ederal VI</w:t>
      </w:r>
      <w:r w:rsidRPr="00831299">
        <w:rPr>
          <w:color w:val="000000"/>
        </w:rPr>
        <w:t xml:space="preserve">P </w:t>
      </w:r>
      <w:proofErr w:type="spellStart"/>
      <w:r w:rsidRPr="00831299">
        <w:rPr>
          <w:color w:val="000000"/>
        </w:rPr>
        <w:t>BlueVision</w:t>
      </w:r>
      <w:proofErr w:type="spellEnd"/>
    </w:p>
    <w:p w14:paraId="7640046E" w14:textId="385E4757" w:rsidR="008D3142" w:rsidRPr="00831299" w:rsidRDefault="00831299" w:rsidP="00805881">
      <w:pPr>
        <w:numPr>
          <w:ilvl w:val="1"/>
          <w:numId w:val="14"/>
        </w:numPr>
        <w:pBdr>
          <w:top w:val="nil"/>
          <w:left w:val="nil"/>
          <w:bottom w:val="nil"/>
          <w:right w:val="nil"/>
          <w:between w:val="nil"/>
        </w:pBdr>
        <w:spacing w:before="200" w:after="0"/>
        <w:rPr>
          <w:color w:val="000000"/>
        </w:rPr>
      </w:pPr>
      <w:r w:rsidRPr="00831299">
        <w:rPr>
          <w:color w:val="000000"/>
        </w:rPr>
        <w:t xml:space="preserve">Vermont’s </w:t>
      </w:r>
      <w:r w:rsidR="008D3142" w:rsidRPr="00831299">
        <w:rPr>
          <w:color w:val="000000"/>
        </w:rPr>
        <w:t>State CHIP</w:t>
      </w:r>
      <w:r w:rsidRPr="00831299">
        <w:rPr>
          <w:color w:val="000000"/>
        </w:rPr>
        <w:t xml:space="preserve"> Dental</w:t>
      </w:r>
    </w:p>
    <w:p w14:paraId="6EC5B1CB" w14:textId="4F1B9ABE" w:rsidR="00B5391C" w:rsidRDefault="00B5391C" w:rsidP="00805881">
      <w:pPr>
        <w:numPr>
          <w:ilvl w:val="0"/>
          <w:numId w:val="14"/>
        </w:numPr>
        <w:pBdr>
          <w:top w:val="nil"/>
          <w:left w:val="nil"/>
          <w:bottom w:val="nil"/>
          <w:right w:val="nil"/>
          <w:between w:val="nil"/>
        </w:pBdr>
        <w:spacing w:before="200" w:after="0"/>
        <w:rPr>
          <w:color w:val="000000"/>
        </w:rPr>
      </w:pPr>
      <w:r>
        <w:rPr>
          <w:color w:val="000000"/>
        </w:rPr>
        <w:t xml:space="preserve">Information gained from regular conversations with the State and other market stakeholders, including Blue Cross Blue Shield of Vermont and MVP Healthcare. </w:t>
      </w:r>
    </w:p>
    <w:p w14:paraId="06A14544" w14:textId="4D0476C2" w:rsidR="00205AB4" w:rsidRDefault="00205AB4" w:rsidP="00805881">
      <w:pPr>
        <w:numPr>
          <w:ilvl w:val="1"/>
          <w:numId w:val="14"/>
        </w:numPr>
        <w:pBdr>
          <w:top w:val="nil"/>
          <w:left w:val="nil"/>
          <w:bottom w:val="nil"/>
          <w:right w:val="nil"/>
          <w:between w:val="nil"/>
        </w:pBdr>
        <w:spacing w:before="200" w:after="0"/>
        <w:rPr>
          <w:color w:val="000000"/>
        </w:rPr>
      </w:pPr>
      <w:r>
        <w:rPr>
          <w:color w:val="000000"/>
        </w:rPr>
        <w:t xml:space="preserve">Plan benefit and cost-sharing </w:t>
      </w:r>
      <w:r w:rsidR="00831299">
        <w:rPr>
          <w:color w:val="000000"/>
        </w:rPr>
        <w:t>summaries</w:t>
      </w:r>
    </w:p>
    <w:p w14:paraId="710C550B" w14:textId="575FAABD" w:rsidR="00205AB4" w:rsidRDefault="00205AB4" w:rsidP="00805881">
      <w:pPr>
        <w:numPr>
          <w:ilvl w:val="1"/>
          <w:numId w:val="14"/>
        </w:numPr>
        <w:pBdr>
          <w:top w:val="nil"/>
          <w:left w:val="nil"/>
          <w:bottom w:val="nil"/>
          <w:right w:val="nil"/>
          <w:between w:val="nil"/>
        </w:pBdr>
        <w:spacing w:before="200" w:after="0"/>
        <w:rPr>
          <w:color w:val="000000"/>
        </w:rPr>
      </w:pPr>
      <w:r>
        <w:rPr>
          <w:color w:val="000000"/>
        </w:rPr>
        <w:t xml:space="preserve">Large group membership </w:t>
      </w:r>
      <w:r w:rsidR="00831299">
        <w:rPr>
          <w:color w:val="000000"/>
        </w:rPr>
        <w:t>estimates</w:t>
      </w:r>
    </w:p>
    <w:p w14:paraId="26BEC856" w14:textId="46FCE40D" w:rsidR="00E41351" w:rsidRPr="00E41351" w:rsidRDefault="00E41351" w:rsidP="00805881">
      <w:pPr>
        <w:numPr>
          <w:ilvl w:val="0"/>
          <w:numId w:val="14"/>
        </w:numPr>
        <w:pBdr>
          <w:top w:val="nil"/>
          <w:left w:val="nil"/>
          <w:bottom w:val="nil"/>
          <w:right w:val="nil"/>
          <w:between w:val="nil"/>
        </w:pBdr>
        <w:spacing w:before="200" w:after="0"/>
        <w:rPr>
          <w:color w:val="000000"/>
        </w:rPr>
      </w:pPr>
      <w:r>
        <w:rPr>
          <w:color w:val="000000"/>
        </w:rPr>
        <w:t>Various internal and external research to supplement the analysis contained within this report</w:t>
      </w:r>
    </w:p>
    <w:p w14:paraId="1BA1EF70" w14:textId="0ED750A3" w:rsidR="00BC3F2D" w:rsidRDefault="001A2849">
      <w:pPr>
        <w:widowControl w:val="0"/>
      </w:pPr>
      <w:r w:rsidRPr="00165D48">
        <w:t>The following caveats in the analysis should be considered when relying on the results.</w:t>
      </w:r>
    </w:p>
    <w:p w14:paraId="2E6B4A12" w14:textId="7F0BE787" w:rsidR="00BC3F2D" w:rsidRPr="003C4409" w:rsidRDefault="001A2849" w:rsidP="00805881">
      <w:pPr>
        <w:widowControl w:val="0"/>
        <w:numPr>
          <w:ilvl w:val="0"/>
          <w:numId w:val="15"/>
        </w:numPr>
        <w:pBdr>
          <w:top w:val="nil"/>
          <w:left w:val="nil"/>
          <w:bottom w:val="nil"/>
          <w:right w:val="nil"/>
          <w:between w:val="nil"/>
        </w:pBdr>
        <w:spacing w:before="200" w:after="0"/>
      </w:pPr>
      <w:r>
        <w:rPr>
          <w:b/>
          <w:color w:val="000000"/>
        </w:rPr>
        <w:t xml:space="preserve">Data Limitations. </w:t>
      </w:r>
      <w:r w:rsidR="00E41351">
        <w:rPr>
          <w:color w:val="000000"/>
        </w:rPr>
        <w:t xml:space="preserve">The VHCURES data listed above was provided by the State for the support of this analysis. </w:t>
      </w:r>
      <w:proofErr w:type="spellStart"/>
      <w:r w:rsidR="00E41351">
        <w:rPr>
          <w:color w:val="000000"/>
        </w:rPr>
        <w:t>Wakely</w:t>
      </w:r>
      <w:proofErr w:type="spellEnd"/>
      <w:r w:rsidR="00E41351">
        <w:rPr>
          <w:color w:val="000000"/>
        </w:rPr>
        <w:t xml:space="preserve"> was provided with a data dictionary in order to tailor the data to our needs, but no further audit of the data for correctness or completeness was performed. Furthermore, claims and enrollment data from 2018 formed the basis of this </w:t>
      </w:r>
      <w:r w:rsidR="00CA1536">
        <w:rPr>
          <w:color w:val="000000"/>
        </w:rPr>
        <w:t>analysis</w:t>
      </w:r>
      <w:r w:rsidR="00E41351">
        <w:rPr>
          <w:color w:val="000000"/>
        </w:rPr>
        <w:t xml:space="preserve"> due to run-out and data lag in later years of the VHCURES data set. Finally, we </w:t>
      </w:r>
      <w:r w:rsidR="00E41351">
        <w:rPr>
          <w:color w:val="000000"/>
        </w:rPr>
        <w:lastRenderedPageBreak/>
        <w:t xml:space="preserve">note that the data provided was a subset of the entire VHCURES data set, so it was assumed to be complete for our purposes. </w:t>
      </w:r>
    </w:p>
    <w:p w14:paraId="57F58087" w14:textId="6C646288" w:rsidR="003C4409" w:rsidRPr="003C4409" w:rsidRDefault="003C4409" w:rsidP="00805881">
      <w:pPr>
        <w:pStyle w:val="ListParagraph"/>
        <w:widowControl w:val="0"/>
        <w:numPr>
          <w:ilvl w:val="1"/>
          <w:numId w:val="15"/>
        </w:numPr>
        <w:pBdr>
          <w:top w:val="nil"/>
          <w:left w:val="nil"/>
          <w:bottom w:val="nil"/>
          <w:right w:val="nil"/>
          <w:between w:val="nil"/>
        </w:pBdr>
        <w:spacing w:before="200" w:after="0"/>
      </w:pPr>
      <w:r w:rsidRPr="00196490">
        <w:rPr>
          <w:color w:val="000000"/>
        </w:rPr>
        <w:t>The WIDs used in this report include databases comprised of EDGE server data.</w:t>
      </w:r>
      <w:r w:rsidR="00DF04E2" w:rsidRPr="00196490">
        <w:rPr>
          <w:color w:val="000000"/>
        </w:rPr>
        <w:t xml:space="preserve"> There are some variances in the EDGE data compared to other data sources that may be used to check the </w:t>
      </w:r>
      <w:r w:rsidR="00CA1536" w:rsidRPr="00196490">
        <w:rPr>
          <w:color w:val="000000"/>
        </w:rPr>
        <w:t>reasonability</w:t>
      </w:r>
      <w:r w:rsidR="00DF04E2" w:rsidRPr="00196490">
        <w:rPr>
          <w:color w:val="000000"/>
        </w:rPr>
        <w:t xml:space="preserve"> of the EDGE data; however, the variances were reasonable and not expected to impact the results. </w:t>
      </w:r>
    </w:p>
    <w:p w14:paraId="650558B9" w14:textId="5C1EA5F4" w:rsidR="00BC3F2D" w:rsidRDefault="001A2849" w:rsidP="00805881">
      <w:pPr>
        <w:widowControl w:val="0"/>
        <w:numPr>
          <w:ilvl w:val="0"/>
          <w:numId w:val="15"/>
        </w:numPr>
        <w:pBdr>
          <w:top w:val="nil"/>
          <w:left w:val="nil"/>
          <w:bottom w:val="nil"/>
          <w:right w:val="nil"/>
          <w:between w:val="nil"/>
        </w:pBdr>
        <w:spacing w:before="200" w:after="0"/>
      </w:pPr>
      <w:r>
        <w:rPr>
          <w:b/>
          <w:color w:val="000000"/>
        </w:rPr>
        <w:t>Enrollment Uncertainty.</w:t>
      </w:r>
      <w:r>
        <w:rPr>
          <w:color w:val="000000"/>
        </w:rPr>
        <w:t xml:space="preserve"> </w:t>
      </w:r>
      <w:r w:rsidR="00DF04E2">
        <w:rPr>
          <w:color w:val="000000"/>
        </w:rPr>
        <w:t xml:space="preserve">This report was produced based on 2018 experience data. To the extent that the risk profile, mix of services utilized, size, or any other significant characteristic of combination of characteristics of the insured population changes significantly between 2018 and any year for which these projections are being used, the data on which this report is based may no longer be applicable. </w:t>
      </w:r>
    </w:p>
    <w:p w14:paraId="1929964A" w14:textId="43C57435" w:rsidR="00BC3F2D" w:rsidRPr="00B45798" w:rsidRDefault="001A2849" w:rsidP="00805881">
      <w:pPr>
        <w:widowControl w:val="0"/>
        <w:numPr>
          <w:ilvl w:val="0"/>
          <w:numId w:val="15"/>
        </w:numPr>
        <w:pBdr>
          <w:top w:val="nil"/>
          <w:left w:val="nil"/>
          <w:bottom w:val="nil"/>
          <w:right w:val="nil"/>
          <w:between w:val="nil"/>
        </w:pBdr>
        <w:spacing w:before="200" w:after="0"/>
        <w:rPr>
          <w:b/>
          <w:color w:val="000000"/>
        </w:rPr>
      </w:pPr>
      <w:r>
        <w:rPr>
          <w:b/>
          <w:color w:val="000000"/>
        </w:rPr>
        <w:t xml:space="preserve">Mental Health Parity. </w:t>
      </w:r>
      <w:r w:rsidRPr="00B45798">
        <w:rPr>
          <w:color w:val="000000"/>
        </w:rPr>
        <w:t xml:space="preserve">Any testing for compliance with the requirements of the </w:t>
      </w:r>
      <w:r w:rsidRPr="00DB7451">
        <w:rPr>
          <w:rFonts w:eastAsia="Roboto"/>
          <w:color w:val="111111"/>
          <w:highlight w:val="white"/>
        </w:rPr>
        <w:t>Mental Health Parity and Addiction Equity Act of 2008 (MHPAEA)</w:t>
      </w:r>
      <w:r w:rsidRPr="00B45798">
        <w:rPr>
          <w:color w:val="000000"/>
        </w:rPr>
        <w:t xml:space="preserve"> was outside the scope of this project, and therefore was not performed. Changes in benefit coverage may affect such compliance; as such, </w:t>
      </w:r>
      <w:r w:rsidR="000029F8">
        <w:rPr>
          <w:color w:val="000000"/>
        </w:rPr>
        <w:t>DFR</w:t>
      </w:r>
      <w:r w:rsidRPr="00B45798">
        <w:rPr>
          <w:color w:val="000000"/>
        </w:rPr>
        <w:t xml:space="preserve"> should be aware of any potential effects and take appropriate measures and / or precautions in order to ensure no issues arise. Please note that carriers have attested compliance with MHPAEA since </w:t>
      </w:r>
      <w:r w:rsidR="003E7024" w:rsidRPr="00B45798">
        <w:rPr>
          <w:color w:val="000000"/>
        </w:rPr>
        <w:t xml:space="preserve">its </w:t>
      </w:r>
      <w:r w:rsidRPr="00B45798">
        <w:rPr>
          <w:color w:val="000000"/>
        </w:rPr>
        <w:t>passage in 2008.</w:t>
      </w:r>
    </w:p>
    <w:p w14:paraId="6B7749A1" w14:textId="4021737B" w:rsidR="006628D8" w:rsidRDefault="001A2849" w:rsidP="00805881">
      <w:pPr>
        <w:widowControl w:val="0"/>
        <w:numPr>
          <w:ilvl w:val="0"/>
          <w:numId w:val="15"/>
        </w:numPr>
        <w:pBdr>
          <w:top w:val="nil"/>
          <w:left w:val="nil"/>
          <w:bottom w:val="nil"/>
          <w:right w:val="nil"/>
          <w:between w:val="nil"/>
        </w:pBdr>
        <w:spacing w:before="200" w:after="0"/>
        <w:rPr>
          <w:color w:val="000000"/>
        </w:rPr>
      </w:pPr>
      <w:r>
        <w:rPr>
          <w:b/>
          <w:color w:val="000000"/>
        </w:rPr>
        <w:t xml:space="preserve">Issuer Conformity. </w:t>
      </w:r>
      <w:r>
        <w:rPr>
          <w:color w:val="000000"/>
        </w:rPr>
        <w:t xml:space="preserve">The estimated impacts of removing coverage for specific benefits assumes that any changes to the proposed Benchmark plan will be adopted by all issuers present in the state, with respect to their covered benefits offered to members. All estimates are </w:t>
      </w:r>
      <w:proofErr w:type="spellStart"/>
      <w:r>
        <w:rPr>
          <w:color w:val="000000"/>
        </w:rPr>
        <w:t>Wakely’s</w:t>
      </w:r>
      <w:proofErr w:type="spellEnd"/>
      <w:r>
        <w:rPr>
          <w:color w:val="000000"/>
        </w:rPr>
        <w:t xml:space="preserve"> estimate of the change in allowed costs. Actual paid cost and premium impacts may vary by issuer, based on their internal data, models and drugs that they choose to include in their formulary, etc.</w:t>
      </w:r>
    </w:p>
    <w:p w14:paraId="5A50A0E5" w14:textId="036D65A4" w:rsidR="00BC3F2D" w:rsidRPr="006628D8" w:rsidRDefault="006628D8" w:rsidP="006628D8">
      <w:pPr>
        <w:rPr>
          <w:color w:val="000000"/>
        </w:rPr>
      </w:pPr>
      <w:r>
        <w:rPr>
          <w:color w:val="000000"/>
        </w:rPr>
        <w:br w:type="page"/>
      </w:r>
    </w:p>
    <w:p w14:paraId="4BF1B8B7" w14:textId="4F62625B" w:rsidR="00BC3F2D" w:rsidRPr="006628D8" w:rsidRDefault="001A2849" w:rsidP="00196490">
      <w:pPr>
        <w:pStyle w:val="Appendix"/>
      </w:pPr>
      <w:bookmarkStart w:id="16" w:name="_Toc100737836"/>
      <w:r>
        <w:lastRenderedPageBreak/>
        <w:t>Appendix C: Disclosures and Limitations</w:t>
      </w:r>
      <w:bookmarkEnd w:id="16"/>
    </w:p>
    <w:p w14:paraId="13481CF9" w14:textId="31D08760" w:rsidR="00BC3F2D" w:rsidRDefault="001A2849" w:rsidP="00805881">
      <w:pPr>
        <w:spacing w:before="200" w:after="0"/>
      </w:pPr>
      <w:r>
        <w:rPr>
          <w:b/>
        </w:rPr>
        <w:t xml:space="preserve">Responsible Actuaries. </w:t>
      </w:r>
      <w:r>
        <w:t xml:space="preserve">Julie </w:t>
      </w:r>
      <w:proofErr w:type="spellStart"/>
      <w:r>
        <w:t>Peper</w:t>
      </w:r>
      <w:proofErr w:type="spellEnd"/>
      <w:r>
        <w:t xml:space="preserve"> and</w:t>
      </w:r>
      <w:r>
        <w:rPr>
          <w:b/>
        </w:rPr>
        <w:t xml:space="preserve"> </w:t>
      </w:r>
      <w:r>
        <w:t xml:space="preserve">Matt Sauter are the actuaries responsible for this communication. They are Members of the American Academy of Actuaries and Julie is a Fellow while Matt is an Associate of the Society of Actuaries. They meet the Qualification Standards of the American Academy of Actuaries to issue this report. </w:t>
      </w:r>
      <w:r w:rsidR="0099370F">
        <w:t xml:space="preserve">Alex </w:t>
      </w:r>
      <w:proofErr w:type="spellStart"/>
      <w:r w:rsidR="0099370F">
        <w:t>Jarocki</w:t>
      </w:r>
      <w:proofErr w:type="spellEnd"/>
      <w:r w:rsidR="0099370F">
        <w:t xml:space="preserve"> </w:t>
      </w:r>
      <w:r>
        <w:t>and Michael Cohen contributed to this report.</w:t>
      </w:r>
    </w:p>
    <w:p w14:paraId="508C43CA" w14:textId="16671A64" w:rsidR="00BC3F2D" w:rsidRDefault="001A2849" w:rsidP="00805881">
      <w:pPr>
        <w:spacing w:before="200" w:after="0"/>
      </w:pPr>
      <w:r>
        <w:rPr>
          <w:b/>
        </w:rPr>
        <w:t xml:space="preserve">Intended Users. </w:t>
      </w:r>
      <w:r>
        <w:t xml:space="preserve">This information has been prepared for the sole use of </w:t>
      </w:r>
      <w:r w:rsidR="000029F8">
        <w:t>Vermont Department of Financial Regulation</w:t>
      </w:r>
      <w:r w:rsidR="0099370F">
        <w:t xml:space="preserve"> </w:t>
      </w:r>
      <w:r>
        <w:t>(</w:t>
      </w:r>
      <w:r w:rsidR="000029F8">
        <w:t>DFR</w:t>
      </w:r>
      <w:r>
        <w:t xml:space="preserve">). Distribution to parties should be made in its entirety and should be evaluated only by qualified users. The parties receiving this report should retain their own actuarial experts in interpreting results. </w:t>
      </w:r>
    </w:p>
    <w:p w14:paraId="3011733A" w14:textId="23AACDB6" w:rsidR="00BC3F2D" w:rsidRDefault="001A2849" w:rsidP="00805881">
      <w:pPr>
        <w:spacing w:before="200" w:after="0"/>
      </w:pPr>
      <w:r>
        <w:rPr>
          <w:b/>
        </w:rPr>
        <w:t>Risks and Uncertainties</w:t>
      </w:r>
      <w:r>
        <w:t xml:space="preserve">. The assumptions and resulting estimates included in this report and produced by the modeling are inherently uncertain. Users of the results should be qualified to use it and understand the results and the inherent uncertainty. Actual results may vary, potentially materially, from our estimates. </w:t>
      </w:r>
      <w:proofErr w:type="spellStart"/>
      <w:r>
        <w:t>Wakely</w:t>
      </w:r>
      <w:proofErr w:type="spellEnd"/>
      <w:r>
        <w:t xml:space="preserve"> does not warrant or guarantee that </w:t>
      </w:r>
      <w:r w:rsidR="000029F8">
        <w:t>Vermont</w:t>
      </w:r>
      <w:r>
        <w:t xml:space="preserve"> or its issuers will attain the estimated values included in the report. It is the responsibility of those receiving this output to review the assumptions carefully and notify </w:t>
      </w:r>
      <w:proofErr w:type="spellStart"/>
      <w:r>
        <w:t>Wakely</w:t>
      </w:r>
      <w:proofErr w:type="spellEnd"/>
      <w:r>
        <w:t xml:space="preserve"> of any potential concerns. </w:t>
      </w:r>
    </w:p>
    <w:p w14:paraId="287E3F8E" w14:textId="77777777" w:rsidR="00BC3F2D" w:rsidRDefault="001A2849" w:rsidP="00805881">
      <w:pPr>
        <w:spacing w:before="200" w:after="0"/>
      </w:pPr>
      <w:r>
        <w:rPr>
          <w:b/>
        </w:rPr>
        <w:t xml:space="preserve">Conflict of Interest. </w:t>
      </w:r>
      <w:proofErr w:type="spellStart"/>
      <w:r>
        <w:t>Wakely</w:t>
      </w:r>
      <w:proofErr w:type="spellEnd"/>
      <w:r>
        <w:t xml:space="preserve"> provides actuarial services to a variety of clients throughout the health industry.  Our clients include commercial, Medicare, and Medicaid health plans, the federal government and state governments, medical providers, and other entities that operate in the domestic and international health insurance markets. </w:t>
      </w:r>
      <w:proofErr w:type="spellStart"/>
      <w:r>
        <w:t>Wakely</w:t>
      </w:r>
      <w:proofErr w:type="spellEnd"/>
      <w:r>
        <w:t xml:space="preserve"> has implemented various internal practices to reduce or eliminate conflict of interest risk in serving our various clients. Except as noted here, the responsible actuaries are financially independent and free from conflict concerning all matters related to performing the actuarial services underlying this analysis. </w:t>
      </w:r>
    </w:p>
    <w:p w14:paraId="0E58E901" w14:textId="0F0C0818" w:rsidR="00BC3F2D" w:rsidRDefault="001A2849" w:rsidP="00805881">
      <w:pPr>
        <w:spacing w:before="200" w:after="0"/>
      </w:pPr>
      <w:r>
        <w:rPr>
          <w:b/>
        </w:rPr>
        <w:t xml:space="preserve">Data and Reliance. </w:t>
      </w:r>
      <w:r>
        <w:t xml:space="preserve">The current cost estimates rely on data </w:t>
      </w:r>
      <w:r w:rsidR="0099370F">
        <w:t>provided by the State of Vermont via their all payer claim database - VHCURES</w:t>
      </w:r>
      <w:r>
        <w:t xml:space="preserve">. As such, we have relied on others for data and assumptions used in the assignment. We have reviewed the data for </w:t>
      </w:r>
      <w:proofErr w:type="gramStart"/>
      <w:r>
        <w:t>reasonableness, but</w:t>
      </w:r>
      <w:proofErr w:type="gramEnd"/>
      <w:r>
        <w:t xml:space="preserve"> have not performed any independent audit or otherwise verified the accuracy of the data/information. If the underlying information is incomplete or inaccurate, our estimates may be impacted, potentially significantly. The information included in the ‘Data and Methodology’ and ‘</w:t>
      </w:r>
      <w:proofErr w:type="spellStart"/>
      <w:r>
        <w:t>Reliances</w:t>
      </w:r>
      <w:proofErr w:type="spellEnd"/>
      <w:r>
        <w:t xml:space="preserve"> and Caveats’ sections identifies the key data and </w:t>
      </w:r>
      <w:proofErr w:type="spellStart"/>
      <w:r>
        <w:t>reliances</w:t>
      </w:r>
      <w:proofErr w:type="spellEnd"/>
      <w:r>
        <w:t xml:space="preserve">.  </w:t>
      </w:r>
    </w:p>
    <w:p w14:paraId="03EF8A9B" w14:textId="77777777" w:rsidR="00BC3F2D" w:rsidRDefault="001A2849" w:rsidP="00805881">
      <w:pPr>
        <w:spacing w:before="200" w:after="0"/>
      </w:pPr>
      <w:r>
        <w:rPr>
          <w:b/>
        </w:rPr>
        <w:t xml:space="preserve">Subsequent Events. </w:t>
      </w:r>
      <w:r>
        <w:t>These analyses are based on the implicit assumption that the ACA will continue to be in effect in future years with no material change. Material changes in state or federal laws regarding health benefit plans may have a material impact on the results included in this report. Material changes as a result of Federal or state regulations may also have a material impact on the results. There are no specifically known relevant events subsequent to the date of engagement that would impact the results of this document.</w:t>
      </w:r>
    </w:p>
    <w:p w14:paraId="17A51B7A" w14:textId="77777777" w:rsidR="00BC3F2D" w:rsidRDefault="001A2849" w:rsidP="00805881">
      <w:pPr>
        <w:spacing w:before="200" w:after="0"/>
      </w:pPr>
      <w:r>
        <w:rPr>
          <w:b/>
        </w:rPr>
        <w:lastRenderedPageBreak/>
        <w:t xml:space="preserve">Contents of Actuarial Report. </w:t>
      </w:r>
      <w:r>
        <w:t xml:space="preserve">This document (the report, including appendices) constitutes the entirety of actuarial report and supersede any previous communications on the project. </w:t>
      </w:r>
    </w:p>
    <w:p w14:paraId="341BCF85" w14:textId="77777777" w:rsidR="00BC3F2D" w:rsidRDefault="001A2849" w:rsidP="00805881">
      <w:pPr>
        <w:spacing w:before="200" w:after="0"/>
      </w:pPr>
      <w:r>
        <w:rPr>
          <w:b/>
        </w:rPr>
        <w:t xml:space="preserve">Deviations from ASOPs. </w:t>
      </w:r>
      <w:proofErr w:type="spellStart"/>
      <w:r>
        <w:t>Wakely</w:t>
      </w:r>
      <w:proofErr w:type="spellEnd"/>
      <w:r>
        <w:t xml:space="preserve"> completed the analyses using sound actuarial practice. To the best of our knowledge, the report and methods used in the analyses </w:t>
      </w:r>
      <w:proofErr w:type="gramStart"/>
      <w:r>
        <w:t>are in compliance with</w:t>
      </w:r>
      <w:proofErr w:type="gramEnd"/>
      <w:r>
        <w:t xml:space="preserve"> the appropriate ASOPs with no known deviations. A summary of ASOP compliance is listed below:</w:t>
      </w:r>
    </w:p>
    <w:p w14:paraId="29F4DDA3" w14:textId="77777777" w:rsidR="00BC3F2D" w:rsidRDefault="001A2849" w:rsidP="00805881">
      <w:pPr>
        <w:spacing w:before="200" w:after="0"/>
      </w:pPr>
      <w:r>
        <w:t>ASOP No. 23, Data Quality</w:t>
      </w:r>
    </w:p>
    <w:p w14:paraId="31E77229" w14:textId="77777777" w:rsidR="00BC3F2D" w:rsidRDefault="001A2849" w:rsidP="00805881">
      <w:pPr>
        <w:spacing w:before="200" w:after="0"/>
      </w:pPr>
      <w:r>
        <w:t>ASOP No. 25, Credibility Procedures</w:t>
      </w:r>
    </w:p>
    <w:p w14:paraId="17134E5D" w14:textId="77777777" w:rsidR="00BC3F2D" w:rsidRDefault="001A2849" w:rsidP="00805881">
      <w:pPr>
        <w:spacing w:before="200" w:after="0"/>
        <w:rPr>
          <w:u w:val="single"/>
        </w:rPr>
      </w:pPr>
      <w:r>
        <w:t>ASOP No. 41, Actuarial Communication</w:t>
      </w:r>
    </w:p>
    <w:p w14:paraId="5AB1F37D" w14:textId="77777777" w:rsidR="00BC3F2D" w:rsidRDefault="001A2849">
      <w:pPr>
        <w:spacing w:before="0" w:after="160" w:line="259" w:lineRule="auto"/>
        <w:jc w:val="left"/>
      </w:pPr>
      <w:r>
        <w:br w:type="page"/>
      </w:r>
    </w:p>
    <w:p w14:paraId="77D6FAF7" w14:textId="5A321368" w:rsidR="00BC3F2D" w:rsidRDefault="001A2849" w:rsidP="00196490">
      <w:pPr>
        <w:pStyle w:val="Appendix"/>
      </w:pPr>
      <w:bookmarkStart w:id="17" w:name="_Toc100737837"/>
      <w:r w:rsidRPr="00D40400">
        <w:lastRenderedPageBreak/>
        <w:t>Appendix D: Benefit Detail</w:t>
      </w:r>
      <w:bookmarkEnd w:id="17"/>
    </w:p>
    <w:p w14:paraId="4401B268" w14:textId="77777777" w:rsidR="00196490" w:rsidRPr="00196490" w:rsidRDefault="00196490" w:rsidP="00196490">
      <w:pPr>
        <w:rPr>
          <w:sz w:val="2"/>
        </w:rPr>
      </w:pPr>
    </w:p>
    <w:tbl>
      <w:tblPr>
        <w:tblW w:w="0" w:type="auto"/>
        <w:tblInd w:w="-5" w:type="dxa"/>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CellMar>
          <w:left w:w="115" w:type="dxa"/>
          <w:right w:w="115" w:type="dxa"/>
        </w:tblCellMar>
        <w:tblLook w:val="0400" w:firstRow="0" w:lastRow="0" w:firstColumn="0" w:lastColumn="0" w:noHBand="0" w:noVBand="1"/>
      </w:tblPr>
      <w:tblGrid>
        <w:gridCol w:w="2097"/>
        <w:gridCol w:w="1155"/>
        <w:gridCol w:w="6103"/>
      </w:tblGrid>
      <w:tr w:rsidR="00BC3F2D" w:rsidRPr="00F61C4D" w14:paraId="2EF4CC3D" w14:textId="77777777" w:rsidTr="00805881">
        <w:trPr>
          <w:trHeight w:val="288"/>
          <w:tblHeader/>
        </w:trPr>
        <w:tc>
          <w:tcPr>
            <w:tcW w:w="2430" w:type="dxa"/>
            <w:shd w:val="clear" w:color="auto" w:fill="263692"/>
            <w:vAlign w:val="center"/>
          </w:tcPr>
          <w:p w14:paraId="0D66DFE7" w14:textId="52AFC6C1" w:rsidR="00BC3F2D" w:rsidRPr="00F61C4D" w:rsidRDefault="00B74267" w:rsidP="00805881">
            <w:pPr>
              <w:spacing w:before="0" w:after="0" w:line="240" w:lineRule="auto"/>
              <w:jc w:val="left"/>
              <w:rPr>
                <w:rFonts w:eastAsia="Calibri"/>
              </w:rPr>
            </w:pPr>
            <w:r>
              <w:rPr>
                <w:rFonts w:eastAsia="Calibri"/>
                <w:b/>
                <w:color w:val="F2F2F2"/>
              </w:rPr>
              <w:t>Category</w:t>
            </w:r>
          </w:p>
        </w:tc>
        <w:tc>
          <w:tcPr>
            <w:tcW w:w="1260" w:type="dxa"/>
            <w:shd w:val="clear" w:color="auto" w:fill="263692"/>
            <w:vAlign w:val="center"/>
          </w:tcPr>
          <w:p w14:paraId="3EA8524C" w14:textId="74180541" w:rsidR="00BC3F2D" w:rsidRPr="00F61C4D" w:rsidRDefault="00B74267" w:rsidP="00805881">
            <w:pPr>
              <w:spacing w:before="0" w:after="0" w:line="240" w:lineRule="auto"/>
              <w:jc w:val="center"/>
              <w:rPr>
                <w:rFonts w:eastAsia="Calibri"/>
              </w:rPr>
            </w:pPr>
            <w:r>
              <w:rPr>
                <w:rFonts w:eastAsia="Calibri"/>
                <w:b/>
                <w:color w:val="F2F2F2"/>
              </w:rPr>
              <w:t>Code</w:t>
            </w:r>
          </w:p>
        </w:tc>
        <w:tc>
          <w:tcPr>
            <w:tcW w:w="7470" w:type="dxa"/>
            <w:shd w:val="clear" w:color="auto" w:fill="263692"/>
            <w:vAlign w:val="center"/>
          </w:tcPr>
          <w:p w14:paraId="5A69FBFC" w14:textId="76BB9D1C" w:rsidR="00BC3F2D" w:rsidRPr="00F61C4D" w:rsidRDefault="00B74267" w:rsidP="00805881">
            <w:pPr>
              <w:spacing w:before="0" w:after="0" w:line="240" w:lineRule="auto"/>
              <w:jc w:val="center"/>
              <w:rPr>
                <w:rFonts w:eastAsia="Calibri"/>
                <w:color w:val="000000"/>
              </w:rPr>
            </w:pPr>
            <w:r>
              <w:rPr>
                <w:rFonts w:eastAsia="Calibri"/>
                <w:b/>
                <w:color w:val="F2F2F2"/>
              </w:rPr>
              <w:t>Description</w:t>
            </w:r>
          </w:p>
        </w:tc>
      </w:tr>
      <w:tr w:rsidR="00B74267" w:rsidRPr="00F61C4D" w14:paraId="6D09602B" w14:textId="77777777" w:rsidTr="00805881">
        <w:trPr>
          <w:trHeight w:val="288"/>
        </w:trPr>
        <w:tc>
          <w:tcPr>
            <w:tcW w:w="2430" w:type="dxa"/>
            <w:shd w:val="clear" w:color="auto" w:fill="FFFFFF"/>
            <w:vAlign w:val="center"/>
          </w:tcPr>
          <w:p w14:paraId="004C03E6" w14:textId="2054E05A"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7F3E49D2" w14:textId="077D82D3" w:rsidR="00B74267" w:rsidRPr="00F61C4D" w:rsidRDefault="00B74267" w:rsidP="00805881">
            <w:pPr>
              <w:spacing w:before="0" w:after="0" w:line="240" w:lineRule="auto"/>
              <w:jc w:val="center"/>
              <w:rPr>
                <w:rFonts w:eastAsia="Calibri"/>
              </w:rPr>
            </w:pPr>
            <w:r w:rsidRPr="00EC59B7">
              <w:t>92590</w:t>
            </w:r>
          </w:p>
        </w:tc>
        <w:tc>
          <w:tcPr>
            <w:tcW w:w="7470" w:type="dxa"/>
            <w:shd w:val="clear" w:color="auto" w:fill="FFFFFF"/>
            <w:vAlign w:val="center"/>
          </w:tcPr>
          <w:p w14:paraId="13A2F122" w14:textId="196C022D" w:rsidR="00B74267" w:rsidRPr="00F61C4D" w:rsidRDefault="00B74267" w:rsidP="00805881">
            <w:pPr>
              <w:spacing w:before="0" w:after="0" w:line="240" w:lineRule="auto"/>
              <w:jc w:val="left"/>
              <w:rPr>
                <w:rFonts w:eastAsia="Calibri"/>
                <w:color w:val="000000"/>
              </w:rPr>
            </w:pPr>
            <w:r w:rsidRPr="00EC59B7">
              <w:t>HEARING AID EXAMINATION &amp; SELECTION MONAURAL</w:t>
            </w:r>
          </w:p>
        </w:tc>
      </w:tr>
      <w:tr w:rsidR="00B74267" w:rsidRPr="00F61C4D" w14:paraId="3D3F0EA6" w14:textId="77777777" w:rsidTr="00805881">
        <w:trPr>
          <w:trHeight w:val="288"/>
        </w:trPr>
        <w:tc>
          <w:tcPr>
            <w:tcW w:w="2430" w:type="dxa"/>
            <w:shd w:val="clear" w:color="auto" w:fill="FFFFFF"/>
            <w:vAlign w:val="center"/>
          </w:tcPr>
          <w:p w14:paraId="46941B62" w14:textId="0829EE38"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auto"/>
            <w:vAlign w:val="center"/>
          </w:tcPr>
          <w:p w14:paraId="3AEB5F42" w14:textId="05B022A2" w:rsidR="00B74267" w:rsidRPr="00F61C4D" w:rsidRDefault="00B74267" w:rsidP="00805881">
            <w:pPr>
              <w:spacing w:before="0" w:after="0" w:line="240" w:lineRule="auto"/>
              <w:jc w:val="center"/>
              <w:rPr>
                <w:rFonts w:eastAsia="Calibri"/>
                <w:color w:val="000000"/>
              </w:rPr>
            </w:pPr>
            <w:r w:rsidRPr="00EC59B7">
              <w:t>92591</w:t>
            </w:r>
          </w:p>
        </w:tc>
        <w:tc>
          <w:tcPr>
            <w:tcW w:w="7470" w:type="dxa"/>
            <w:shd w:val="clear" w:color="auto" w:fill="FFFFFF"/>
            <w:vAlign w:val="center"/>
          </w:tcPr>
          <w:p w14:paraId="72B24CF4" w14:textId="53CC6364" w:rsidR="00B74267" w:rsidRPr="00F61C4D" w:rsidRDefault="00B74267" w:rsidP="00805881">
            <w:pPr>
              <w:spacing w:before="0" w:after="0" w:line="240" w:lineRule="auto"/>
              <w:jc w:val="left"/>
              <w:rPr>
                <w:rFonts w:eastAsia="Calibri"/>
              </w:rPr>
            </w:pPr>
            <w:r w:rsidRPr="00EC59B7">
              <w:t>HEARING AID EXAMINATION &amp; SELECTION BINAURAL</w:t>
            </w:r>
          </w:p>
        </w:tc>
      </w:tr>
      <w:tr w:rsidR="00B74267" w:rsidRPr="00F61C4D" w14:paraId="63BFC956" w14:textId="77777777" w:rsidTr="00805881">
        <w:trPr>
          <w:trHeight w:val="288"/>
        </w:trPr>
        <w:tc>
          <w:tcPr>
            <w:tcW w:w="2430" w:type="dxa"/>
            <w:shd w:val="clear" w:color="auto" w:fill="auto"/>
            <w:vAlign w:val="center"/>
          </w:tcPr>
          <w:p w14:paraId="3721C043" w14:textId="2772CF08" w:rsidR="00B74267" w:rsidRPr="00F61C4D" w:rsidRDefault="00B74267" w:rsidP="00805881">
            <w:pPr>
              <w:spacing w:before="0" w:after="0" w:line="240" w:lineRule="auto"/>
              <w:jc w:val="left"/>
              <w:rPr>
                <w:rFonts w:eastAsia="Calibri"/>
                <w:color w:val="000000"/>
              </w:rPr>
            </w:pPr>
            <w:r w:rsidRPr="00EC59B7">
              <w:t>Hearing Aid Exam</w:t>
            </w:r>
          </w:p>
        </w:tc>
        <w:tc>
          <w:tcPr>
            <w:tcW w:w="1260" w:type="dxa"/>
            <w:shd w:val="clear" w:color="auto" w:fill="auto"/>
            <w:vAlign w:val="center"/>
          </w:tcPr>
          <w:p w14:paraId="24D98888" w14:textId="2E827C69" w:rsidR="00B74267" w:rsidRPr="00F61C4D" w:rsidRDefault="00B74267" w:rsidP="00805881">
            <w:pPr>
              <w:spacing w:before="0" w:after="0" w:line="240" w:lineRule="auto"/>
              <w:jc w:val="center"/>
              <w:rPr>
                <w:rFonts w:eastAsia="Calibri"/>
                <w:color w:val="000000"/>
              </w:rPr>
            </w:pPr>
            <w:r w:rsidRPr="00EC59B7">
              <w:t>92592</w:t>
            </w:r>
          </w:p>
        </w:tc>
        <w:tc>
          <w:tcPr>
            <w:tcW w:w="7470" w:type="dxa"/>
            <w:shd w:val="clear" w:color="auto" w:fill="auto"/>
            <w:vAlign w:val="center"/>
          </w:tcPr>
          <w:p w14:paraId="48579A1B" w14:textId="0DDDB2D0" w:rsidR="00B74267" w:rsidRPr="00F61C4D" w:rsidRDefault="00B74267" w:rsidP="00805881">
            <w:pPr>
              <w:spacing w:before="0" w:after="0" w:line="240" w:lineRule="auto"/>
              <w:jc w:val="left"/>
              <w:rPr>
                <w:rFonts w:eastAsia="Calibri"/>
                <w:color w:val="000000"/>
              </w:rPr>
            </w:pPr>
            <w:r w:rsidRPr="00EC59B7">
              <w:t>HEARING AID CHECK MONAURAL</w:t>
            </w:r>
          </w:p>
        </w:tc>
      </w:tr>
      <w:tr w:rsidR="00B74267" w:rsidRPr="00F61C4D" w14:paraId="257677BF" w14:textId="77777777" w:rsidTr="00805881">
        <w:trPr>
          <w:trHeight w:val="288"/>
        </w:trPr>
        <w:tc>
          <w:tcPr>
            <w:tcW w:w="2430" w:type="dxa"/>
            <w:shd w:val="clear" w:color="auto" w:fill="FFFFFF"/>
            <w:vAlign w:val="center"/>
          </w:tcPr>
          <w:p w14:paraId="4F9BC5AD" w14:textId="5AE9526C"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25FB6B18" w14:textId="19141EE2" w:rsidR="00B74267" w:rsidRPr="00F61C4D" w:rsidRDefault="00B74267" w:rsidP="00805881">
            <w:pPr>
              <w:spacing w:before="0" w:after="0" w:line="240" w:lineRule="auto"/>
              <w:jc w:val="center"/>
              <w:rPr>
                <w:rFonts w:eastAsia="Calibri"/>
                <w:color w:val="111111"/>
              </w:rPr>
            </w:pPr>
            <w:r w:rsidRPr="00EC59B7">
              <w:t>92593</w:t>
            </w:r>
          </w:p>
        </w:tc>
        <w:tc>
          <w:tcPr>
            <w:tcW w:w="7470" w:type="dxa"/>
            <w:shd w:val="clear" w:color="auto" w:fill="FFFFFF"/>
            <w:vAlign w:val="center"/>
          </w:tcPr>
          <w:p w14:paraId="39484B1D" w14:textId="50D30274" w:rsidR="00B74267" w:rsidRPr="00F61C4D" w:rsidRDefault="00B74267" w:rsidP="00805881">
            <w:pPr>
              <w:spacing w:before="0" w:after="0" w:line="240" w:lineRule="auto"/>
              <w:jc w:val="left"/>
              <w:rPr>
                <w:rFonts w:eastAsia="Calibri"/>
                <w:color w:val="111111"/>
              </w:rPr>
            </w:pPr>
            <w:r w:rsidRPr="00EC59B7">
              <w:t>HEARING AID CHECK BINAURAL</w:t>
            </w:r>
          </w:p>
        </w:tc>
      </w:tr>
      <w:tr w:rsidR="00B74267" w:rsidRPr="00F61C4D" w14:paraId="6D0C006F" w14:textId="77777777" w:rsidTr="00805881">
        <w:trPr>
          <w:trHeight w:val="288"/>
        </w:trPr>
        <w:tc>
          <w:tcPr>
            <w:tcW w:w="2430" w:type="dxa"/>
            <w:shd w:val="clear" w:color="auto" w:fill="FFFFFF"/>
            <w:vAlign w:val="center"/>
          </w:tcPr>
          <w:p w14:paraId="4CDC968E" w14:textId="31D0C4EC"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458899F5" w14:textId="198C24D3" w:rsidR="00B74267" w:rsidRPr="00F61C4D" w:rsidRDefault="00B74267" w:rsidP="00805881">
            <w:pPr>
              <w:spacing w:before="0" w:after="0" w:line="240" w:lineRule="auto"/>
              <w:jc w:val="center"/>
              <w:rPr>
                <w:rFonts w:eastAsia="Calibri"/>
                <w:color w:val="000000"/>
              </w:rPr>
            </w:pPr>
            <w:r w:rsidRPr="00EC59B7">
              <w:t>92594</w:t>
            </w:r>
          </w:p>
        </w:tc>
        <w:tc>
          <w:tcPr>
            <w:tcW w:w="7470" w:type="dxa"/>
            <w:shd w:val="clear" w:color="auto" w:fill="FFFFFF"/>
            <w:vAlign w:val="center"/>
          </w:tcPr>
          <w:p w14:paraId="248713B6" w14:textId="70D9C750" w:rsidR="00B74267" w:rsidRPr="00F61C4D" w:rsidRDefault="00B74267" w:rsidP="00805881">
            <w:pPr>
              <w:spacing w:before="0" w:after="0" w:line="240" w:lineRule="auto"/>
              <w:jc w:val="left"/>
              <w:rPr>
                <w:rFonts w:eastAsia="Calibri"/>
                <w:color w:val="000000"/>
              </w:rPr>
            </w:pPr>
            <w:r w:rsidRPr="00EC59B7">
              <w:t>ELECTROACOUS EVAL HEARING AID MONAURAL</w:t>
            </w:r>
          </w:p>
        </w:tc>
      </w:tr>
      <w:tr w:rsidR="00B74267" w:rsidRPr="00F61C4D" w14:paraId="7CAFD3F7" w14:textId="77777777" w:rsidTr="00805881">
        <w:trPr>
          <w:trHeight w:val="288"/>
        </w:trPr>
        <w:tc>
          <w:tcPr>
            <w:tcW w:w="2430" w:type="dxa"/>
            <w:shd w:val="clear" w:color="auto" w:fill="FFFFFF"/>
            <w:vAlign w:val="center"/>
          </w:tcPr>
          <w:p w14:paraId="0079A1EE" w14:textId="0126128C"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5545E7D3" w14:textId="634FEFD5" w:rsidR="00B74267" w:rsidRPr="00F61C4D" w:rsidRDefault="00B74267" w:rsidP="00805881">
            <w:pPr>
              <w:spacing w:before="0" w:after="0" w:line="240" w:lineRule="auto"/>
              <w:jc w:val="center"/>
              <w:rPr>
                <w:rFonts w:eastAsia="Calibri"/>
                <w:color w:val="000000"/>
              </w:rPr>
            </w:pPr>
            <w:r w:rsidRPr="00EC59B7">
              <w:t>92595</w:t>
            </w:r>
          </w:p>
        </w:tc>
        <w:tc>
          <w:tcPr>
            <w:tcW w:w="7470" w:type="dxa"/>
            <w:shd w:val="clear" w:color="auto" w:fill="FFFFFF"/>
            <w:vAlign w:val="center"/>
          </w:tcPr>
          <w:p w14:paraId="75DB649D" w14:textId="6F7A2AB7" w:rsidR="00B74267" w:rsidRPr="00F61C4D" w:rsidRDefault="00B74267" w:rsidP="00805881">
            <w:pPr>
              <w:spacing w:before="0" w:after="0" w:line="240" w:lineRule="auto"/>
              <w:jc w:val="left"/>
              <w:rPr>
                <w:rFonts w:eastAsia="Calibri"/>
                <w:color w:val="000000"/>
              </w:rPr>
            </w:pPr>
            <w:r w:rsidRPr="00EC59B7">
              <w:t>ELECTROACOUS EVAL HEARING AID BINAURAL</w:t>
            </w:r>
          </w:p>
        </w:tc>
      </w:tr>
      <w:tr w:rsidR="00B74267" w:rsidRPr="00F61C4D" w14:paraId="5D295461" w14:textId="77777777" w:rsidTr="00805881">
        <w:trPr>
          <w:trHeight w:val="288"/>
        </w:trPr>
        <w:tc>
          <w:tcPr>
            <w:tcW w:w="2430" w:type="dxa"/>
            <w:shd w:val="clear" w:color="auto" w:fill="FFFFFF"/>
            <w:vAlign w:val="center"/>
          </w:tcPr>
          <w:p w14:paraId="0063B188" w14:textId="06E80008"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0B9E5932" w14:textId="3400E8F0" w:rsidR="00B74267" w:rsidRPr="00F61C4D" w:rsidRDefault="00B74267" w:rsidP="00805881">
            <w:pPr>
              <w:spacing w:before="0" w:after="0" w:line="240" w:lineRule="auto"/>
              <w:jc w:val="center"/>
              <w:rPr>
                <w:rFonts w:eastAsia="Calibri"/>
                <w:color w:val="111111"/>
              </w:rPr>
            </w:pPr>
            <w:r w:rsidRPr="00EC59B7">
              <w:t>S0618</w:t>
            </w:r>
          </w:p>
        </w:tc>
        <w:tc>
          <w:tcPr>
            <w:tcW w:w="7470" w:type="dxa"/>
            <w:shd w:val="clear" w:color="auto" w:fill="FFFFFF"/>
            <w:vAlign w:val="center"/>
          </w:tcPr>
          <w:p w14:paraId="54D07BC7" w14:textId="5138A573" w:rsidR="00B74267" w:rsidRPr="00F61C4D" w:rsidRDefault="00B74267" w:rsidP="00805881">
            <w:pPr>
              <w:spacing w:before="0" w:after="0" w:line="240" w:lineRule="auto"/>
              <w:jc w:val="left"/>
              <w:rPr>
                <w:rFonts w:eastAsia="Calibri"/>
                <w:color w:val="000000"/>
              </w:rPr>
            </w:pPr>
            <w:r w:rsidRPr="00EC59B7">
              <w:t xml:space="preserve">AUDIOMETRY FOR HEARING AID         </w:t>
            </w:r>
          </w:p>
        </w:tc>
      </w:tr>
      <w:tr w:rsidR="00B74267" w:rsidRPr="00F61C4D" w14:paraId="5165F340" w14:textId="77777777" w:rsidTr="00805881">
        <w:trPr>
          <w:trHeight w:val="288"/>
        </w:trPr>
        <w:tc>
          <w:tcPr>
            <w:tcW w:w="2430" w:type="dxa"/>
            <w:shd w:val="clear" w:color="auto" w:fill="FFFFFF"/>
            <w:vAlign w:val="center"/>
          </w:tcPr>
          <w:p w14:paraId="1596E8A7" w14:textId="1F410426"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59681938" w14:textId="35146AAE" w:rsidR="00B74267" w:rsidRPr="00F61C4D" w:rsidRDefault="00B74267" w:rsidP="00805881">
            <w:pPr>
              <w:spacing w:before="0" w:after="0" w:line="240" w:lineRule="auto"/>
              <w:jc w:val="center"/>
              <w:rPr>
                <w:rFonts w:eastAsia="Calibri"/>
                <w:color w:val="000000"/>
              </w:rPr>
            </w:pPr>
            <w:r w:rsidRPr="00EC59B7">
              <w:t>V5010</w:t>
            </w:r>
          </w:p>
        </w:tc>
        <w:tc>
          <w:tcPr>
            <w:tcW w:w="7470" w:type="dxa"/>
            <w:shd w:val="clear" w:color="auto" w:fill="FFFFFF"/>
            <w:vAlign w:val="center"/>
          </w:tcPr>
          <w:p w14:paraId="099C6F49" w14:textId="10A225D3" w:rsidR="00B74267" w:rsidRPr="00F61C4D" w:rsidRDefault="00B74267" w:rsidP="00805881">
            <w:pPr>
              <w:spacing w:before="0" w:after="0" w:line="240" w:lineRule="auto"/>
              <w:jc w:val="left"/>
              <w:rPr>
                <w:rFonts w:eastAsia="Calibri"/>
                <w:color w:val="000000"/>
              </w:rPr>
            </w:pPr>
            <w:r w:rsidRPr="00EC59B7">
              <w:t xml:space="preserve">ASSESSMENT FOR HEARING AID         </w:t>
            </w:r>
          </w:p>
        </w:tc>
      </w:tr>
      <w:tr w:rsidR="00B74267" w:rsidRPr="00F61C4D" w14:paraId="16E97D6F" w14:textId="77777777" w:rsidTr="00805881">
        <w:trPr>
          <w:trHeight w:val="288"/>
        </w:trPr>
        <w:tc>
          <w:tcPr>
            <w:tcW w:w="2430" w:type="dxa"/>
            <w:shd w:val="clear" w:color="auto" w:fill="FFFFFF"/>
            <w:vAlign w:val="center"/>
          </w:tcPr>
          <w:p w14:paraId="4F31ACC6" w14:textId="7127F5EE" w:rsidR="00B74267" w:rsidRPr="00F61C4D" w:rsidRDefault="00B74267" w:rsidP="00805881">
            <w:pPr>
              <w:spacing w:before="0" w:after="0" w:line="240" w:lineRule="auto"/>
              <w:jc w:val="left"/>
              <w:rPr>
                <w:rFonts w:eastAsia="Calibri"/>
              </w:rPr>
            </w:pPr>
            <w:r w:rsidRPr="00EC59B7">
              <w:t>Hearing Aid Exam</w:t>
            </w:r>
          </w:p>
        </w:tc>
        <w:tc>
          <w:tcPr>
            <w:tcW w:w="1260" w:type="dxa"/>
            <w:shd w:val="clear" w:color="auto" w:fill="FFFFFF"/>
            <w:vAlign w:val="center"/>
          </w:tcPr>
          <w:p w14:paraId="3FBE0F8E" w14:textId="5553CCE7" w:rsidR="00B74267" w:rsidRPr="00F61C4D" w:rsidRDefault="00B74267" w:rsidP="00805881">
            <w:pPr>
              <w:spacing w:before="0" w:after="0" w:line="240" w:lineRule="auto"/>
              <w:jc w:val="center"/>
              <w:rPr>
                <w:rFonts w:eastAsia="Calibri"/>
                <w:color w:val="000000"/>
              </w:rPr>
            </w:pPr>
            <w:r w:rsidRPr="00EC59B7">
              <w:t>V5011</w:t>
            </w:r>
          </w:p>
        </w:tc>
        <w:tc>
          <w:tcPr>
            <w:tcW w:w="7470" w:type="dxa"/>
            <w:shd w:val="clear" w:color="auto" w:fill="FFFFFF"/>
            <w:vAlign w:val="center"/>
          </w:tcPr>
          <w:p w14:paraId="79679C70" w14:textId="1BC079E1" w:rsidR="00B74267" w:rsidRPr="00F61C4D" w:rsidRDefault="00B74267" w:rsidP="00805881">
            <w:pPr>
              <w:spacing w:before="0" w:after="0" w:line="240" w:lineRule="auto"/>
              <w:jc w:val="left"/>
              <w:rPr>
                <w:rFonts w:eastAsia="Calibri"/>
                <w:color w:val="000000"/>
              </w:rPr>
            </w:pPr>
            <w:r w:rsidRPr="00EC59B7">
              <w:t xml:space="preserve">HEARING AID FITTING/CHECKING       </w:t>
            </w:r>
          </w:p>
        </w:tc>
      </w:tr>
      <w:tr w:rsidR="00B74267" w:rsidRPr="00F61C4D" w14:paraId="2860B12F" w14:textId="77777777" w:rsidTr="00805881">
        <w:trPr>
          <w:trHeight w:val="288"/>
        </w:trPr>
        <w:tc>
          <w:tcPr>
            <w:tcW w:w="2430" w:type="dxa"/>
            <w:shd w:val="clear" w:color="auto" w:fill="FFFFFF"/>
            <w:vAlign w:val="center"/>
          </w:tcPr>
          <w:p w14:paraId="167DD1D6" w14:textId="09A10BA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3E7AF4B" w14:textId="333CCAF6" w:rsidR="00B74267" w:rsidRPr="00F61C4D" w:rsidRDefault="00B74267" w:rsidP="00805881">
            <w:pPr>
              <w:spacing w:before="0" w:after="0" w:line="240" w:lineRule="auto"/>
              <w:jc w:val="center"/>
              <w:rPr>
                <w:rFonts w:eastAsia="Calibri"/>
                <w:color w:val="000000"/>
              </w:rPr>
            </w:pPr>
            <w:r w:rsidRPr="00EC59B7">
              <w:t>V5014</w:t>
            </w:r>
          </w:p>
        </w:tc>
        <w:tc>
          <w:tcPr>
            <w:tcW w:w="7470" w:type="dxa"/>
            <w:shd w:val="clear" w:color="auto" w:fill="FFFFFF"/>
            <w:vAlign w:val="center"/>
          </w:tcPr>
          <w:p w14:paraId="1A3CC510" w14:textId="2DF19D07" w:rsidR="00B74267" w:rsidRPr="00F61C4D" w:rsidRDefault="00B74267" w:rsidP="00805881">
            <w:pPr>
              <w:spacing w:before="0" w:after="0" w:line="240" w:lineRule="auto"/>
              <w:jc w:val="left"/>
              <w:rPr>
                <w:rFonts w:eastAsia="Calibri"/>
                <w:color w:val="000000"/>
              </w:rPr>
            </w:pPr>
            <w:r w:rsidRPr="00EC59B7">
              <w:t xml:space="preserve">HEARING AID REPAIR/MODIFYING       </w:t>
            </w:r>
          </w:p>
        </w:tc>
      </w:tr>
      <w:tr w:rsidR="00B74267" w:rsidRPr="00F61C4D" w14:paraId="3BD0810F" w14:textId="77777777" w:rsidTr="00805881">
        <w:trPr>
          <w:trHeight w:val="288"/>
        </w:trPr>
        <w:tc>
          <w:tcPr>
            <w:tcW w:w="2430" w:type="dxa"/>
            <w:shd w:val="clear" w:color="auto" w:fill="FFFFFF"/>
            <w:vAlign w:val="center"/>
          </w:tcPr>
          <w:p w14:paraId="207A1EA9" w14:textId="12CFF7F8"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7F6F0EC" w14:textId="7E5B008C" w:rsidR="00B74267" w:rsidRPr="00F61C4D" w:rsidRDefault="00B74267" w:rsidP="00805881">
            <w:pPr>
              <w:spacing w:before="0" w:after="0" w:line="240" w:lineRule="auto"/>
              <w:jc w:val="center"/>
              <w:rPr>
                <w:rFonts w:eastAsia="Calibri"/>
                <w:color w:val="111111"/>
              </w:rPr>
            </w:pPr>
            <w:r w:rsidRPr="00EC59B7">
              <w:t>V5020</w:t>
            </w:r>
          </w:p>
        </w:tc>
        <w:tc>
          <w:tcPr>
            <w:tcW w:w="7470" w:type="dxa"/>
            <w:shd w:val="clear" w:color="auto" w:fill="FFFFFF"/>
            <w:vAlign w:val="center"/>
          </w:tcPr>
          <w:p w14:paraId="278531B4" w14:textId="65EE68A0" w:rsidR="00B74267" w:rsidRPr="00F61C4D" w:rsidRDefault="00B74267" w:rsidP="00805881">
            <w:pPr>
              <w:spacing w:before="0" w:after="0" w:line="240" w:lineRule="auto"/>
              <w:jc w:val="left"/>
              <w:rPr>
                <w:rFonts w:eastAsia="Calibri"/>
                <w:color w:val="000000"/>
              </w:rPr>
            </w:pPr>
            <w:r w:rsidRPr="00EC59B7">
              <w:t xml:space="preserve">CONFORMITY EVALUATION              </w:t>
            </w:r>
          </w:p>
        </w:tc>
      </w:tr>
      <w:tr w:rsidR="00B74267" w:rsidRPr="00F61C4D" w14:paraId="4DA0E25D" w14:textId="77777777" w:rsidTr="00805881">
        <w:trPr>
          <w:trHeight w:val="288"/>
        </w:trPr>
        <w:tc>
          <w:tcPr>
            <w:tcW w:w="2430" w:type="dxa"/>
            <w:shd w:val="clear" w:color="auto" w:fill="FFFFFF"/>
            <w:vAlign w:val="center"/>
          </w:tcPr>
          <w:p w14:paraId="48F3FEE8" w14:textId="16F80990"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386D7AE" w14:textId="6C30CBAE" w:rsidR="00B74267" w:rsidRPr="00F61C4D" w:rsidRDefault="00B74267" w:rsidP="00805881">
            <w:pPr>
              <w:spacing w:before="0" w:after="0" w:line="240" w:lineRule="auto"/>
              <w:jc w:val="center"/>
              <w:rPr>
                <w:rFonts w:eastAsia="Calibri"/>
                <w:color w:val="000000"/>
              </w:rPr>
            </w:pPr>
            <w:r w:rsidRPr="00EC59B7">
              <w:t>V5030</w:t>
            </w:r>
          </w:p>
        </w:tc>
        <w:tc>
          <w:tcPr>
            <w:tcW w:w="7470" w:type="dxa"/>
            <w:shd w:val="clear" w:color="auto" w:fill="FFFFFF"/>
            <w:vAlign w:val="center"/>
          </w:tcPr>
          <w:p w14:paraId="770D2066" w14:textId="3188A741" w:rsidR="00B74267" w:rsidRPr="00F61C4D" w:rsidRDefault="00B74267" w:rsidP="00805881">
            <w:pPr>
              <w:spacing w:before="0" w:after="0" w:line="240" w:lineRule="auto"/>
              <w:jc w:val="left"/>
              <w:rPr>
                <w:rFonts w:eastAsia="Calibri"/>
                <w:color w:val="000000"/>
              </w:rPr>
            </w:pPr>
            <w:r w:rsidRPr="00EC59B7">
              <w:t xml:space="preserve">BODY-WORN HEARING AID AIR          </w:t>
            </w:r>
          </w:p>
        </w:tc>
      </w:tr>
      <w:tr w:rsidR="00B74267" w:rsidRPr="00F61C4D" w14:paraId="594B35D6" w14:textId="77777777" w:rsidTr="00805881">
        <w:trPr>
          <w:trHeight w:val="288"/>
        </w:trPr>
        <w:tc>
          <w:tcPr>
            <w:tcW w:w="2430" w:type="dxa"/>
            <w:shd w:val="clear" w:color="auto" w:fill="FFFFFF"/>
            <w:vAlign w:val="center"/>
          </w:tcPr>
          <w:p w14:paraId="3018E69F" w14:textId="2BF75D7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6543DA0" w14:textId="053C3F56" w:rsidR="00B74267" w:rsidRPr="00F61C4D" w:rsidRDefault="00B74267" w:rsidP="00805881">
            <w:pPr>
              <w:spacing w:before="0" w:after="0" w:line="240" w:lineRule="auto"/>
              <w:jc w:val="center"/>
              <w:rPr>
                <w:rFonts w:eastAsia="Calibri"/>
                <w:color w:val="111111"/>
              </w:rPr>
            </w:pPr>
            <w:r w:rsidRPr="00EC59B7">
              <w:t>V5040</w:t>
            </w:r>
          </w:p>
        </w:tc>
        <w:tc>
          <w:tcPr>
            <w:tcW w:w="7470" w:type="dxa"/>
            <w:shd w:val="clear" w:color="auto" w:fill="FFFFFF"/>
            <w:vAlign w:val="center"/>
          </w:tcPr>
          <w:p w14:paraId="28CCF121" w14:textId="560A0AB7" w:rsidR="00B74267" w:rsidRPr="00F61C4D" w:rsidRDefault="00B74267" w:rsidP="00805881">
            <w:pPr>
              <w:spacing w:before="0" w:after="0" w:line="240" w:lineRule="auto"/>
              <w:jc w:val="left"/>
              <w:rPr>
                <w:rFonts w:eastAsia="Calibri"/>
                <w:color w:val="000000"/>
              </w:rPr>
            </w:pPr>
            <w:r w:rsidRPr="00EC59B7">
              <w:t xml:space="preserve">BODY-WORN HEARING AID BONE         </w:t>
            </w:r>
          </w:p>
        </w:tc>
      </w:tr>
      <w:tr w:rsidR="00B74267" w:rsidRPr="00F61C4D" w14:paraId="24AC3E75" w14:textId="77777777" w:rsidTr="00805881">
        <w:trPr>
          <w:trHeight w:val="288"/>
        </w:trPr>
        <w:tc>
          <w:tcPr>
            <w:tcW w:w="2430" w:type="dxa"/>
            <w:shd w:val="clear" w:color="auto" w:fill="FFFFFF"/>
            <w:vAlign w:val="center"/>
          </w:tcPr>
          <w:p w14:paraId="355D2B15" w14:textId="61FA9118"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24AA463" w14:textId="7F0951FE" w:rsidR="00B74267" w:rsidRPr="00F61C4D" w:rsidRDefault="00B74267" w:rsidP="00805881">
            <w:pPr>
              <w:spacing w:before="0" w:after="0" w:line="240" w:lineRule="auto"/>
              <w:jc w:val="center"/>
              <w:rPr>
                <w:rFonts w:eastAsia="Calibri"/>
                <w:color w:val="000000"/>
              </w:rPr>
            </w:pPr>
            <w:r w:rsidRPr="00EC59B7">
              <w:t>V5050</w:t>
            </w:r>
          </w:p>
        </w:tc>
        <w:tc>
          <w:tcPr>
            <w:tcW w:w="7470" w:type="dxa"/>
            <w:shd w:val="clear" w:color="auto" w:fill="FFFFFF"/>
            <w:vAlign w:val="center"/>
          </w:tcPr>
          <w:p w14:paraId="1491490D" w14:textId="1CD95DB6" w:rsidR="00B74267" w:rsidRPr="00F61C4D" w:rsidRDefault="00B74267" w:rsidP="00805881">
            <w:pPr>
              <w:spacing w:before="0" w:after="0" w:line="240" w:lineRule="auto"/>
              <w:jc w:val="left"/>
              <w:rPr>
                <w:rFonts w:eastAsia="Calibri"/>
                <w:color w:val="000000"/>
              </w:rPr>
            </w:pPr>
            <w:r w:rsidRPr="00EC59B7">
              <w:t xml:space="preserve">HEARING AID MONAURAL IN EAR        </w:t>
            </w:r>
          </w:p>
        </w:tc>
      </w:tr>
      <w:tr w:rsidR="00B74267" w:rsidRPr="00F61C4D" w14:paraId="45A30DE8" w14:textId="77777777" w:rsidTr="00805881">
        <w:trPr>
          <w:trHeight w:val="288"/>
        </w:trPr>
        <w:tc>
          <w:tcPr>
            <w:tcW w:w="2430" w:type="dxa"/>
            <w:shd w:val="clear" w:color="auto" w:fill="auto"/>
            <w:vAlign w:val="center"/>
          </w:tcPr>
          <w:p w14:paraId="7EE4D3F5" w14:textId="6CA9DF1A"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2BA46CD2" w14:textId="0BB7B7BF" w:rsidR="00B74267" w:rsidRPr="00F61C4D" w:rsidRDefault="00B74267" w:rsidP="00805881">
            <w:pPr>
              <w:spacing w:before="0" w:after="0" w:line="240" w:lineRule="auto"/>
              <w:jc w:val="center"/>
              <w:rPr>
                <w:rFonts w:eastAsia="Calibri"/>
                <w:color w:val="000000"/>
              </w:rPr>
            </w:pPr>
            <w:r w:rsidRPr="00EC59B7">
              <w:t>V5060</w:t>
            </w:r>
          </w:p>
        </w:tc>
        <w:tc>
          <w:tcPr>
            <w:tcW w:w="7470" w:type="dxa"/>
            <w:shd w:val="clear" w:color="auto" w:fill="auto"/>
            <w:vAlign w:val="center"/>
          </w:tcPr>
          <w:p w14:paraId="5DEF6FDB" w14:textId="796E8C30" w:rsidR="00B74267" w:rsidRPr="00F61C4D" w:rsidRDefault="00B74267" w:rsidP="00805881">
            <w:pPr>
              <w:spacing w:before="0" w:after="0" w:line="240" w:lineRule="auto"/>
              <w:jc w:val="left"/>
              <w:rPr>
                <w:rFonts w:eastAsia="Calibri"/>
                <w:color w:val="000000"/>
              </w:rPr>
            </w:pPr>
            <w:r w:rsidRPr="00EC59B7">
              <w:t xml:space="preserve">BEHIND EAR HEARING AID             </w:t>
            </w:r>
          </w:p>
        </w:tc>
      </w:tr>
      <w:tr w:rsidR="00B74267" w:rsidRPr="00F61C4D" w14:paraId="7A8F2F5A" w14:textId="77777777" w:rsidTr="00805881">
        <w:trPr>
          <w:trHeight w:val="288"/>
        </w:trPr>
        <w:tc>
          <w:tcPr>
            <w:tcW w:w="2430" w:type="dxa"/>
            <w:shd w:val="clear" w:color="auto" w:fill="FFFFFF"/>
            <w:vAlign w:val="center"/>
          </w:tcPr>
          <w:p w14:paraId="1B5965F5" w14:textId="580913D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FA93854" w14:textId="35524DF1" w:rsidR="00B74267" w:rsidRPr="00F61C4D" w:rsidRDefault="00B74267" w:rsidP="00805881">
            <w:pPr>
              <w:spacing w:before="0" w:after="0" w:line="240" w:lineRule="auto"/>
              <w:jc w:val="center"/>
              <w:rPr>
                <w:rFonts w:eastAsia="Calibri"/>
                <w:color w:val="111111"/>
              </w:rPr>
            </w:pPr>
            <w:r w:rsidRPr="00EC59B7">
              <w:t>V5070</w:t>
            </w:r>
          </w:p>
        </w:tc>
        <w:tc>
          <w:tcPr>
            <w:tcW w:w="7470" w:type="dxa"/>
            <w:shd w:val="clear" w:color="auto" w:fill="FFFFFF"/>
            <w:vAlign w:val="center"/>
          </w:tcPr>
          <w:p w14:paraId="29E2BD91" w14:textId="53D34054" w:rsidR="00B74267" w:rsidRPr="00F61C4D" w:rsidRDefault="00B74267" w:rsidP="00805881">
            <w:pPr>
              <w:spacing w:before="0" w:after="0" w:line="240" w:lineRule="auto"/>
              <w:jc w:val="left"/>
              <w:rPr>
                <w:rFonts w:eastAsia="Calibri"/>
                <w:color w:val="111111"/>
              </w:rPr>
            </w:pPr>
            <w:r w:rsidRPr="00EC59B7">
              <w:t xml:space="preserve">GLASSES AIR CONDUCTION             </w:t>
            </w:r>
          </w:p>
        </w:tc>
      </w:tr>
      <w:tr w:rsidR="00B74267" w:rsidRPr="00F61C4D" w14:paraId="2D0D0C9E" w14:textId="77777777" w:rsidTr="00805881">
        <w:trPr>
          <w:trHeight w:val="288"/>
        </w:trPr>
        <w:tc>
          <w:tcPr>
            <w:tcW w:w="2430" w:type="dxa"/>
            <w:shd w:val="clear" w:color="auto" w:fill="FFFFFF"/>
            <w:vAlign w:val="center"/>
          </w:tcPr>
          <w:p w14:paraId="62187B11" w14:textId="40A269E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0362041" w14:textId="06BF3D45" w:rsidR="00B74267" w:rsidRPr="00F61C4D" w:rsidRDefault="00B74267" w:rsidP="00805881">
            <w:pPr>
              <w:spacing w:before="0" w:after="0" w:line="240" w:lineRule="auto"/>
              <w:jc w:val="center"/>
              <w:rPr>
                <w:rFonts w:eastAsia="Calibri"/>
                <w:color w:val="000000"/>
              </w:rPr>
            </w:pPr>
            <w:r w:rsidRPr="00EC59B7">
              <w:t>V5080</w:t>
            </w:r>
          </w:p>
        </w:tc>
        <w:tc>
          <w:tcPr>
            <w:tcW w:w="7470" w:type="dxa"/>
            <w:shd w:val="clear" w:color="auto" w:fill="FFFFFF"/>
            <w:vAlign w:val="center"/>
          </w:tcPr>
          <w:p w14:paraId="178038BB" w14:textId="5EEC98FE" w:rsidR="00B74267" w:rsidRPr="00F61C4D" w:rsidRDefault="00B74267" w:rsidP="00805881">
            <w:pPr>
              <w:spacing w:before="0" w:after="0" w:line="240" w:lineRule="auto"/>
              <w:jc w:val="left"/>
              <w:rPr>
                <w:rFonts w:eastAsia="Calibri"/>
                <w:color w:val="000000"/>
              </w:rPr>
            </w:pPr>
            <w:r w:rsidRPr="00EC59B7">
              <w:t xml:space="preserve">GLASSES BONE CONDUCTION            </w:t>
            </w:r>
          </w:p>
        </w:tc>
      </w:tr>
      <w:tr w:rsidR="00B74267" w:rsidRPr="00F61C4D" w14:paraId="3B6AECCE" w14:textId="77777777" w:rsidTr="00805881">
        <w:trPr>
          <w:trHeight w:val="288"/>
        </w:trPr>
        <w:tc>
          <w:tcPr>
            <w:tcW w:w="2430" w:type="dxa"/>
            <w:shd w:val="clear" w:color="auto" w:fill="FFFFFF"/>
            <w:vAlign w:val="center"/>
          </w:tcPr>
          <w:p w14:paraId="68A9C317" w14:textId="28A074B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3AE4450" w14:textId="330F2680" w:rsidR="00B74267" w:rsidRPr="00F61C4D" w:rsidRDefault="00B74267" w:rsidP="00805881">
            <w:pPr>
              <w:spacing w:before="0" w:after="0" w:line="240" w:lineRule="auto"/>
              <w:jc w:val="center"/>
              <w:rPr>
                <w:rFonts w:eastAsia="Calibri"/>
                <w:color w:val="000000"/>
              </w:rPr>
            </w:pPr>
            <w:r w:rsidRPr="00EC59B7">
              <w:t>V5090</w:t>
            </w:r>
          </w:p>
        </w:tc>
        <w:tc>
          <w:tcPr>
            <w:tcW w:w="7470" w:type="dxa"/>
            <w:shd w:val="clear" w:color="auto" w:fill="FFFFFF"/>
            <w:vAlign w:val="center"/>
          </w:tcPr>
          <w:p w14:paraId="5F7F8DAC" w14:textId="54AC32A0" w:rsidR="00B74267" w:rsidRPr="00F61C4D" w:rsidRDefault="00B74267" w:rsidP="00805881">
            <w:pPr>
              <w:spacing w:before="0" w:after="0" w:line="240" w:lineRule="auto"/>
              <w:jc w:val="left"/>
              <w:rPr>
                <w:rFonts w:eastAsia="Calibri"/>
                <w:color w:val="000000"/>
              </w:rPr>
            </w:pPr>
            <w:r w:rsidRPr="00EC59B7">
              <w:t xml:space="preserve">HEARING AID DISPENSING FEE         </w:t>
            </w:r>
          </w:p>
        </w:tc>
      </w:tr>
      <w:tr w:rsidR="00B74267" w:rsidRPr="00F61C4D" w14:paraId="773ADC65" w14:textId="77777777" w:rsidTr="00805881">
        <w:trPr>
          <w:trHeight w:val="288"/>
        </w:trPr>
        <w:tc>
          <w:tcPr>
            <w:tcW w:w="2430" w:type="dxa"/>
            <w:shd w:val="clear" w:color="auto" w:fill="FFFFFF"/>
            <w:vAlign w:val="center"/>
          </w:tcPr>
          <w:p w14:paraId="100B7534" w14:textId="5940FB8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29C019E" w14:textId="5D550DE2" w:rsidR="00B74267" w:rsidRPr="00F61C4D" w:rsidRDefault="00B74267" w:rsidP="00805881">
            <w:pPr>
              <w:spacing w:before="0" w:after="0" w:line="240" w:lineRule="auto"/>
              <w:jc w:val="center"/>
              <w:rPr>
                <w:rFonts w:eastAsia="Calibri"/>
                <w:color w:val="111111"/>
              </w:rPr>
            </w:pPr>
            <w:r w:rsidRPr="00EC59B7">
              <w:t>V5095</w:t>
            </w:r>
          </w:p>
        </w:tc>
        <w:tc>
          <w:tcPr>
            <w:tcW w:w="7470" w:type="dxa"/>
            <w:shd w:val="clear" w:color="auto" w:fill="FFFFFF"/>
            <w:vAlign w:val="center"/>
          </w:tcPr>
          <w:p w14:paraId="55F6C6F1" w14:textId="333A369E" w:rsidR="00B74267" w:rsidRPr="00F61C4D" w:rsidRDefault="00B74267" w:rsidP="00805881">
            <w:pPr>
              <w:spacing w:before="0" w:after="0" w:line="240" w:lineRule="auto"/>
              <w:jc w:val="left"/>
              <w:rPr>
                <w:rFonts w:eastAsia="Calibri"/>
                <w:color w:val="000000"/>
              </w:rPr>
            </w:pPr>
            <w:r w:rsidRPr="00EC59B7">
              <w:t xml:space="preserve">IMPLANT MID EAR HEARING PROS       </w:t>
            </w:r>
          </w:p>
        </w:tc>
      </w:tr>
      <w:tr w:rsidR="00B74267" w:rsidRPr="00F61C4D" w14:paraId="295CB0D8" w14:textId="77777777" w:rsidTr="00805881">
        <w:trPr>
          <w:trHeight w:val="288"/>
        </w:trPr>
        <w:tc>
          <w:tcPr>
            <w:tcW w:w="2430" w:type="dxa"/>
            <w:shd w:val="clear" w:color="auto" w:fill="FFFFFF"/>
            <w:vAlign w:val="center"/>
          </w:tcPr>
          <w:p w14:paraId="28260E85" w14:textId="5BB317F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707D9A9" w14:textId="53CB90BD" w:rsidR="00B74267" w:rsidRPr="00F61C4D" w:rsidRDefault="00B74267" w:rsidP="00805881">
            <w:pPr>
              <w:spacing w:before="0" w:after="0" w:line="240" w:lineRule="auto"/>
              <w:jc w:val="center"/>
              <w:rPr>
                <w:rFonts w:eastAsia="Calibri"/>
                <w:color w:val="000000"/>
              </w:rPr>
            </w:pPr>
            <w:r w:rsidRPr="00EC59B7">
              <w:t>V5100</w:t>
            </w:r>
          </w:p>
        </w:tc>
        <w:tc>
          <w:tcPr>
            <w:tcW w:w="7470" w:type="dxa"/>
            <w:shd w:val="clear" w:color="auto" w:fill="FFFFFF"/>
            <w:vAlign w:val="center"/>
          </w:tcPr>
          <w:p w14:paraId="6335FDF6" w14:textId="1CB7F57F" w:rsidR="00B74267" w:rsidRPr="00F61C4D" w:rsidRDefault="00B74267" w:rsidP="00805881">
            <w:pPr>
              <w:spacing w:before="0" w:after="0" w:line="240" w:lineRule="auto"/>
              <w:jc w:val="left"/>
              <w:rPr>
                <w:rFonts w:eastAsia="Calibri"/>
                <w:color w:val="000000"/>
              </w:rPr>
            </w:pPr>
            <w:r w:rsidRPr="00EC59B7">
              <w:t xml:space="preserve">BODY-WORN BILAT HEARING AID        </w:t>
            </w:r>
          </w:p>
        </w:tc>
      </w:tr>
      <w:tr w:rsidR="00B74267" w:rsidRPr="00F61C4D" w14:paraId="020330E3" w14:textId="77777777" w:rsidTr="00805881">
        <w:trPr>
          <w:trHeight w:val="288"/>
        </w:trPr>
        <w:tc>
          <w:tcPr>
            <w:tcW w:w="2430" w:type="dxa"/>
            <w:shd w:val="clear" w:color="auto" w:fill="FFFFFF"/>
            <w:vAlign w:val="center"/>
          </w:tcPr>
          <w:p w14:paraId="63F90637" w14:textId="5527A8E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3704B36" w14:textId="019EEE44" w:rsidR="00B74267" w:rsidRPr="00F61C4D" w:rsidRDefault="00B74267" w:rsidP="00805881">
            <w:pPr>
              <w:spacing w:before="0" w:after="0" w:line="240" w:lineRule="auto"/>
              <w:jc w:val="center"/>
              <w:rPr>
                <w:rFonts w:eastAsia="Calibri"/>
                <w:color w:val="000000"/>
              </w:rPr>
            </w:pPr>
            <w:r w:rsidRPr="00EC59B7">
              <w:t>V5110</w:t>
            </w:r>
          </w:p>
        </w:tc>
        <w:tc>
          <w:tcPr>
            <w:tcW w:w="7470" w:type="dxa"/>
            <w:shd w:val="clear" w:color="auto" w:fill="FFFFFF"/>
            <w:vAlign w:val="center"/>
          </w:tcPr>
          <w:p w14:paraId="660251A6" w14:textId="0525EF1D" w:rsidR="00B74267" w:rsidRPr="00F61C4D" w:rsidRDefault="00B74267" w:rsidP="00805881">
            <w:pPr>
              <w:spacing w:before="0" w:after="0" w:line="240" w:lineRule="auto"/>
              <w:jc w:val="left"/>
              <w:rPr>
                <w:rFonts w:eastAsia="Calibri"/>
                <w:color w:val="000000"/>
              </w:rPr>
            </w:pPr>
            <w:r w:rsidRPr="00EC59B7">
              <w:t xml:space="preserve">HEARING AID DISPENSING FEE         </w:t>
            </w:r>
          </w:p>
        </w:tc>
      </w:tr>
      <w:tr w:rsidR="00B74267" w:rsidRPr="00F61C4D" w14:paraId="59E6FD2C" w14:textId="77777777" w:rsidTr="00805881">
        <w:trPr>
          <w:trHeight w:val="288"/>
        </w:trPr>
        <w:tc>
          <w:tcPr>
            <w:tcW w:w="2430" w:type="dxa"/>
            <w:shd w:val="clear" w:color="auto" w:fill="FFFFFF"/>
            <w:vAlign w:val="center"/>
          </w:tcPr>
          <w:p w14:paraId="4F77374D" w14:textId="5487702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B915FB7" w14:textId="3A1E917B" w:rsidR="00B74267" w:rsidRPr="00F61C4D" w:rsidRDefault="00B74267" w:rsidP="00805881">
            <w:pPr>
              <w:spacing w:before="0" w:after="0" w:line="240" w:lineRule="auto"/>
              <w:jc w:val="center"/>
              <w:rPr>
                <w:rFonts w:eastAsia="Calibri"/>
                <w:color w:val="000000"/>
              </w:rPr>
            </w:pPr>
            <w:r w:rsidRPr="00EC59B7">
              <w:t>V5120</w:t>
            </w:r>
          </w:p>
        </w:tc>
        <w:tc>
          <w:tcPr>
            <w:tcW w:w="7470" w:type="dxa"/>
            <w:shd w:val="clear" w:color="auto" w:fill="FFFFFF"/>
            <w:vAlign w:val="center"/>
          </w:tcPr>
          <w:p w14:paraId="0311B8B1" w14:textId="79F081BB" w:rsidR="00B74267" w:rsidRPr="00F61C4D" w:rsidRDefault="00B74267" w:rsidP="00805881">
            <w:pPr>
              <w:spacing w:before="0" w:after="0" w:line="240" w:lineRule="auto"/>
              <w:jc w:val="left"/>
              <w:rPr>
                <w:rFonts w:eastAsia="Calibri"/>
                <w:color w:val="000000"/>
              </w:rPr>
            </w:pPr>
            <w:r w:rsidRPr="00EC59B7">
              <w:t xml:space="preserve">BODY-WORN BINAUR HEARING AID       </w:t>
            </w:r>
          </w:p>
        </w:tc>
      </w:tr>
      <w:tr w:rsidR="00B74267" w:rsidRPr="00F61C4D" w14:paraId="622A851F" w14:textId="77777777" w:rsidTr="00805881">
        <w:trPr>
          <w:trHeight w:val="288"/>
        </w:trPr>
        <w:tc>
          <w:tcPr>
            <w:tcW w:w="2430" w:type="dxa"/>
            <w:shd w:val="clear" w:color="auto" w:fill="FFFFFF"/>
            <w:vAlign w:val="center"/>
          </w:tcPr>
          <w:p w14:paraId="0D8B5489" w14:textId="1B5FCDE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536C431" w14:textId="583DC309" w:rsidR="00B74267" w:rsidRPr="00F61C4D" w:rsidRDefault="00B74267" w:rsidP="00805881">
            <w:pPr>
              <w:spacing w:before="0" w:after="0" w:line="240" w:lineRule="auto"/>
              <w:jc w:val="center"/>
              <w:rPr>
                <w:rFonts w:eastAsia="Calibri"/>
                <w:color w:val="111111"/>
              </w:rPr>
            </w:pPr>
            <w:r w:rsidRPr="00EC59B7">
              <w:t>V5130</w:t>
            </w:r>
          </w:p>
        </w:tc>
        <w:tc>
          <w:tcPr>
            <w:tcW w:w="7470" w:type="dxa"/>
            <w:shd w:val="clear" w:color="auto" w:fill="FFFFFF"/>
            <w:vAlign w:val="center"/>
          </w:tcPr>
          <w:p w14:paraId="11115D07" w14:textId="6A96B674" w:rsidR="00B74267" w:rsidRPr="00F61C4D" w:rsidRDefault="00B74267" w:rsidP="00805881">
            <w:pPr>
              <w:spacing w:before="0" w:after="0" w:line="240" w:lineRule="auto"/>
              <w:jc w:val="left"/>
              <w:rPr>
                <w:rFonts w:eastAsia="Calibri"/>
                <w:color w:val="000000"/>
              </w:rPr>
            </w:pPr>
            <w:r w:rsidRPr="00EC59B7">
              <w:t xml:space="preserve">IN EAR BINAURAL HEARING AID        </w:t>
            </w:r>
          </w:p>
        </w:tc>
      </w:tr>
      <w:tr w:rsidR="00B74267" w:rsidRPr="00F61C4D" w14:paraId="24A36F98" w14:textId="77777777" w:rsidTr="00805881">
        <w:trPr>
          <w:trHeight w:val="288"/>
        </w:trPr>
        <w:tc>
          <w:tcPr>
            <w:tcW w:w="2430" w:type="dxa"/>
            <w:shd w:val="clear" w:color="auto" w:fill="FFFFFF"/>
            <w:vAlign w:val="center"/>
          </w:tcPr>
          <w:p w14:paraId="1441DD37" w14:textId="31D0964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DD0507C" w14:textId="7312FACA" w:rsidR="00B74267" w:rsidRPr="00F61C4D" w:rsidRDefault="00B74267" w:rsidP="00805881">
            <w:pPr>
              <w:spacing w:before="0" w:after="0" w:line="240" w:lineRule="auto"/>
              <w:jc w:val="center"/>
              <w:rPr>
                <w:rFonts w:eastAsia="Calibri"/>
                <w:color w:val="000000"/>
              </w:rPr>
            </w:pPr>
            <w:r w:rsidRPr="00EC59B7">
              <w:t>V5140</w:t>
            </w:r>
          </w:p>
        </w:tc>
        <w:tc>
          <w:tcPr>
            <w:tcW w:w="7470" w:type="dxa"/>
            <w:shd w:val="clear" w:color="auto" w:fill="FFFFFF"/>
            <w:vAlign w:val="center"/>
          </w:tcPr>
          <w:p w14:paraId="7BAC8627" w14:textId="4889078D" w:rsidR="00B74267" w:rsidRPr="00F61C4D" w:rsidRDefault="00B74267" w:rsidP="00805881">
            <w:pPr>
              <w:spacing w:before="0" w:after="0" w:line="240" w:lineRule="auto"/>
              <w:jc w:val="left"/>
              <w:rPr>
                <w:rFonts w:eastAsia="Calibri"/>
                <w:color w:val="000000"/>
              </w:rPr>
            </w:pPr>
            <w:r w:rsidRPr="00EC59B7">
              <w:t xml:space="preserve">BEHIND EAR BINAUR HEARING AI       </w:t>
            </w:r>
          </w:p>
        </w:tc>
      </w:tr>
      <w:tr w:rsidR="00B74267" w:rsidRPr="00F61C4D" w14:paraId="5C91CB5C" w14:textId="77777777" w:rsidTr="00805881">
        <w:trPr>
          <w:trHeight w:val="288"/>
        </w:trPr>
        <w:tc>
          <w:tcPr>
            <w:tcW w:w="2430" w:type="dxa"/>
            <w:shd w:val="clear" w:color="auto" w:fill="FFFFFF"/>
            <w:vAlign w:val="center"/>
          </w:tcPr>
          <w:p w14:paraId="2CFCE393" w14:textId="5A33F0EC"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CB35192" w14:textId="5E412A27" w:rsidR="00B74267" w:rsidRPr="00F61C4D" w:rsidRDefault="00B74267" w:rsidP="00805881">
            <w:pPr>
              <w:spacing w:before="0" w:after="0" w:line="240" w:lineRule="auto"/>
              <w:jc w:val="center"/>
              <w:rPr>
                <w:rFonts w:eastAsia="Calibri"/>
                <w:color w:val="111111"/>
              </w:rPr>
            </w:pPr>
            <w:r w:rsidRPr="00EC59B7">
              <w:t>V5150</w:t>
            </w:r>
          </w:p>
        </w:tc>
        <w:tc>
          <w:tcPr>
            <w:tcW w:w="7470" w:type="dxa"/>
            <w:shd w:val="clear" w:color="auto" w:fill="FFFFFF"/>
            <w:vAlign w:val="center"/>
          </w:tcPr>
          <w:p w14:paraId="064D3FB6" w14:textId="2AA65FF1" w:rsidR="00B74267" w:rsidRPr="00F61C4D" w:rsidRDefault="00B74267" w:rsidP="00805881">
            <w:pPr>
              <w:spacing w:before="0" w:after="0" w:line="240" w:lineRule="auto"/>
              <w:jc w:val="left"/>
              <w:rPr>
                <w:rFonts w:eastAsia="Calibri"/>
                <w:color w:val="000000"/>
              </w:rPr>
            </w:pPr>
            <w:r w:rsidRPr="00EC59B7">
              <w:t xml:space="preserve">GLASSES BINAURAL HEARING AID       </w:t>
            </w:r>
          </w:p>
        </w:tc>
      </w:tr>
      <w:tr w:rsidR="00B74267" w:rsidRPr="00F61C4D" w14:paraId="0DA90FED" w14:textId="77777777" w:rsidTr="00805881">
        <w:trPr>
          <w:trHeight w:val="288"/>
        </w:trPr>
        <w:tc>
          <w:tcPr>
            <w:tcW w:w="2430" w:type="dxa"/>
            <w:shd w:val="clear" w:color="auto" w:fill="FFFFFF"/>
            <w:vAlign w:val="center"/>
          </w:tcPr>
          <w:p w14:paraId="603362A2" w14:textId="7205837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E5BD55E" w14:textId="7FD44A3A" w:rsidR="00B74267" w:rsidRPr="00F61C4D" w:rsidRDefault="00B74267" w:rsidP="00805881">
            <w:pPr>
              <w:spacing w:before="0" w:after="0" w:line="240" w:lineRule="auto"/>
              <w:jc w:val="center"/>
              <w:rPr>
                <w:rFonts w:eastAsia="Calibri"/>
                <w:color w:val="000000"/>
              </w:rPr>
            </w:pPr>
            <w:r w:rsidRPr="00EC59B7">
              <w:t>V5160</w:t>
            </w:r>
          </w:p>
        </w:tc>
        <w:tc>
          <w:tcPr>
            <w:tcW w:w="7470" w:type="dxa"/>
            <w:shd w:val="clear" w:color="auto" w:fill="FFFFFF"/>
            <w:vAlign w:val="center"/>
          </w:tcPr>
          <w:p w14:paraId="14153BF0" w14:textId="75897909" w:rsidR="00B74267" w:rsidRPr="00F61C4D" w:rsidRDefault="00B74267" w:rsidP="00805881">
            <w:pPr>
              <w:spacing w:before="0" w:after="0" w:line="240" w:lineRule="auto"/>
              <w:jc w:val="left"/>
              <w:rPr>
                <w:rFonts w:eastAsia="Calibri"/>
                <w:color w:val="000000"/>
              </w:rPr>
            </w:pPr>
            <w:r w:rsidRPr="00EC59B7">
              <w:t xml:space="preserve">DISPENSING FEE BINAURAL            </w:t>
            </w:r>
          </w:p>
        </w:tc>
      </w:tr>
      <w:tr w:rsidR="00B74267" w:rsidRPr="00F61C4D" w14:paraId="6D484A84" w14:textId="77777777" w:rsidTr="00805881">
        <w:trPr>
          <w:trHeight w:val="288"/>
        </w:trPr>
        <w:tc>
          <w:tcPr>
            <w:tcW w:w="2430" w:type="dxa"/>
            <w:shd w:val="clear" w:color="auto" w:fill="auto"/>
            <w:vAlign w:val="center"/>
          </w:tcPr>
          <w:p w14:paraId="29D4B13E" w14:textId="203D595B"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5FA06F90" w14:textId="6269E97F" w:rsidR="00B74267" w:rsidRPr="00F61C4D" w:rsidRDefault="00B74267" w:rsidP="00805881">
            <w:pPr>
              <w:spacing w:before="0" w:after="0" w:line="240" w:lineRule="auto"/>
              <w:jc w:val="center"/>
              <w:rPr>
                <w:rFonts w:eastAsia="Calibri"/>
                <w:color w:val="000000"/>
              </w:rPr>
            </w:pPr>
            <w:r w:rsidRPr="00EC59B7">
              <w:t>V5170</w:t>
            </w:r>
          </w:p>
        </w:tc>
        <w:tc>
          <w:tcPr>
            <w:tcW w:w="7470" w:type="dxa"/>
            <w:shd w:val="clear" w:color="auto" w:fill="auto"/>
            <w:vAlign w:val="center"/>
          </w:tcPr>
          <w:p w14:paraId="28E4D190" w14:textId="7E5436BF" w:rsidR="00B74267" w:rsidRPr="00F61C4D" w:rsidRDefault="00B74267" w:rsidP="00805881">
            <w:pPr>
              <w:spacing w:before="0" w:after="0" w:line="240" w:lineRule="auto"/>
              <w:jc w:val="left"/>
              <w:rPr>
                <w:rFonts w:eastAsia="Calibri"/>
                <w:color w:val="000000"/>
              </w:rPr>
            </w:pPr>
            <w:r w:rsidRPr="00EC59B7">
              <w:t xml:space="preserve">WITHIN EAR CROS HEARING AID        </w:t>
            </w:r>
          </w:p>
        </w:tc>
      </w:tr>
      <w:tr w:rsidR="00B74267" w:rsidRPr="00F61C4D" w14:paraId="55F8A69F" w14:textId="77777777" w:rsidTr="00805881">
        <w:trPr>
          <w:trHeight w:val="288"/>
        </w:trPr>
        <w:tc>
          <w:tcPr>
            <w:tcW w:w="2430" w:type="dxa"/>
            <w:shd w:val="clear" w:color="auto" w:fill="FFFFFF"/>
            <w:vAlign w:val="center"/>
          </w:tcPr>
          <w:p w14:paraId="095F958E" w14:textId="4E038E2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2F915C5" w14:textId="09E44667" w:rsidR="00B74267" w:rsidRPr="00F61C4D" w:rsidRDefault="00B74267" w:rsidP="00805881">
            <w:pPr>
              <w:spacing w:before="0" w:after="0" w:line="240" w:lineRule="auto"/>
              <w:jc w:val="center"/>
              <w:rPr>
                <w:rFonts w:eastAsia="Calibri"/>
                <w:color w:val="111111"/>
              </w:rPr>
            </w:pPr>
            <w:r w:rsidRPr="00EC59B7">
              <w:t>V5180</w:t>
            </w:r>
          </w:p>
        </w:tc>
        <w:tc>
          <w:tcPr>
            <w:tcW w:w="7470" w:type="dxa"/>
            <w:shd w:val="clear" w:color="auto" w:fill="FFFFFF"/>
            <w:vAlign w:val="center"/>
          </w:tcPr>
          <w:p w14:paraId="18C4EE5A" w14:textId="2750F362" w:rsidR="00B74267" w:rsidRPr="00F61C4D" w:rsidRDefault="00B74267" w:rsidP="00805881">
            <w:pPr>
              <w:spacing w:before="0" w:after="0" w:line="240" w:lineRule="auto"/>
              <w:jc w:val="left"/>
              <w:rPr>
                <w:rFonts w:eastAsia="Calibri"/>
                <w:color w:val="111111"/>
              </w:rPr>
            </w:pPr>
            <w:r w:rsidRPr="00EC59B7">
              <w:t xml:space="preserve">BEHIND EAR CROS HEARING AID        </w:t>
            </w:r>
          </w:p>
        </w:tc>
      </w:tr>
      <w:tr w:rsidR="00B74267" w:rsidRPr="00F61C4D" w14:paraId="7E74B8D5" w14:textId="77777777" w:rsidTr="00805881">
        <w:trPr>
          <w:trHeight w:val="288"/>
        </w:trPr>
        <w:tc>
          <w:tcPr>
            <w:tcW w:w="2430" w:type="dxa"/>
            <w:shd w:val="clear" w:color="auto" w:fill="FFFFFF"/>
            <w:vAlign w:val="center"/>
          </w:tcPr>
          <w:p w14:paraId="3F1CF6E1" w14:textId="7611B742"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537FCC4" w14:textId="29403976" w:rsidR="00B74267" w:rsidRPr="00F61C4D" w:rsidRDefault="00B74267" w:rsidP="00805881">
            <w:pPr>
              <w:spacing w:before="0" w:after="0" w:line="240" w:lineRule="auto"/>
              <w:jc w:val="center"/>
              <w:rPr>
                <w:rFonts w:eastAsia="Calibri"/>
                <w:color w:val="000000"/>
              </w:rPr>
            </w:pPr>
            <w:r w:rsidRPr="00EC59B7">
              <w:t>V5190</w:t>
            </w:r>
          </w:p>
        </w:tc>
        <w:tc>
          <w:tcPr>
            <w:tcW w:w="7470" w:type="dxa"/>
            <w:shd w:val="clear" w:color="auto" w:fill="FFFFFF"/>
            <w:vAlign w:val="center"/>
          </w:tcPr>
          <w:p w14:paraId="5FE8BBAD" w14:textId="4D2B7164" w:rsidR="00B74267" w:rsidRPr="00F61C4D" w:rsidRDefault="00B74267" w:rsidP="00805881">
            <w:pPr>
              <w:spacing w:before="0" w:after="0" w:line="240" w:lineRule="auto"/>
              <w:jc w:val="left"/>
              <w:rPr>
                <w:rFonts w:eastAsia="Calibri"/>
                <w:color w:val="000000"/>
              </w:rPr>
            </w:pPr>
            <w:r w:rsidRPr="00EC59B7">
              <w:t xml:space="preserve">GLASSES CROS HEARING AID           </w:t>
            </w:r>
          </w:p>
        </w:tc>
      </w:tr>
      <w:tr w:rsidR="00B74267" w:rsidRPr="00F61C4D" w14:paraId="7719C8E1" w14:textId="77777777" w:rsidTr="00805881">
        <w:trPr>
          <w:trHeight w:val="288"/>
        </w:trPr>
        <w:tc>
          <w:tcPr>
            <w:tcW w:w="2430" w:type="dxa"/>
            <w:shd w:val="clear" w:color="auto" w:fill="FFFFFF"/>
            <w:vAlign w:val="center"/>
          </w:tcPr>
          <w:p w14:paraId="5EE3AD2D" w14:textId="0C6EB1F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F778378" w14:textId="65DBEE55" w:rsidR="00B74267" w:rsidRPr="00F61C4D" w:rsidRDefault="00B74267" w:rsidP="00805881">
            <w:pPr>
              <w:spacing w:before="0" w:after="0" w:line="240" w:lineRule="auto"/>
              <w:jc w:val="center"/>
              <w:rPr>
                <w:rFonts w:eastAsia="Calibri"/>
                <w:color w:val="000000"/>
              </w:rPr>
            </w:pPr>
            <w:r w:rsidRPr="00EC59B7">
              <w:t>V5200</w:t>
            </w:r>
          </w:p>
        </w:tc>
        <w:tc>
          <w:tcPr>
            <w:tcW w:w="7470" w:type="dxa"/>
            <w:shd w:val="clear" w:color="auto" w:fill="FFFFFF"/>
            <w:vAlign w:val="center"/>
          </w:tcPr>
          <w:p w14:paraId="06FB708F" w14:textId="2C9703F0" w:rsidR="00B74267" w:rsidRPr="00F61C4D" w:rsidRDefault="00B74267" w:rsidP="00805881">
            <w:pPr>
              <w:spacing w:before="0" w:after="0" w:line="240" w:lineRule="auto"/>
              <w:jc w:val="left"/>
              <w:rPr>
                <w:rFonts w:eastAsia="Calibri"/>
                <w:color w:val="000000"/>
              </w:rPr>
            </w:pPr>
            <w:r w:rsidRPr="00EC59B7">
              <w:t xml:space="preserve">CROS HEARING AID DISPENS FEE       </w:t>
            </w:r>
          </w:p>
        </w:tc>
      </w:tr>
      <w:tr w:rsidR="00B74267" w:rsidRPr="00F61C4D" w14:paraId="682B3B9E" w14:textId="77777777" w:rsidTr="00805881">
        <w:trPr>
          <w:trHeight w:val="288"/>
        </w:trPr>
        <w:tc>
          <w:tcPr>
            <w:tcW w:w="2430" w:type="dxa"/>
            <w:shd w:val="clear" w:color="auto" w:fill="FFFFFF"/>
            <w:vAlign w:val="center"/>
          </w:tcPr>
          <w:p w14:paraId="333C6304" w14:textId="7345780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EAF4CEC" w14:textId="31ED9DAC" w:rsidR="00B74267" w:rsidRPr="00F61C4D" w:rsidRDefault="00B74267" w:rsidP="00805881">
            <w:pPr>
              <w:spacing w:before="0" w:after="0" w:line="240" w:lineRule="auto"/>
              <w:jc w:val="center"/>
              <w:rPr>
                <w:rFonts w:eastAsia="Calibri"/>
                <w:color w:val="111111"/>
              </w:rPr>
            </w:pPr>
            <w:r w:rsidRPr="00EC59B7">
              <w:t>V5210</w:t>
            </w:r>
          </w:p>
        </w:tc>
        <w:tc>
          <w:tcPr>
            <w:tcW w:w="7470" w:type="dxa"/>
            <w:shd w:val="clear" w:color="auto" w:fill="FFFFFF"/>
            <w:vAlign w:val="center"/>
          </w:tcPr>
          <w:p w14:paraId="1626C39E" w14:textId="77354881" w:rsidR="00B74267" w:rsidRPr="00F61C4D" w:rsidRDefault="00B74267" w:rsidP="00805881">
            <w:pPr>
              <w:spacing w:before="0" w:after="0" w:line="240" w:lineRule="auto"/>
              <w:jc w:val="left"/>
              <w:rPr>
                <w:rFonts w:eastAsia="Calibri"/>
                <w:color w:val="000000"/>
              </w:rPr>
            </w:pPr>
            <w:r w:rsidRPr="00EC59B7">
              <w:t xml:space="preserve">IN EAR BICROS HEARING AID          </w:t>
            </w:r>
          </w:p>
        </w:tc>
      </w:tr>
      <w:tr w:rsidR="00B74267" w:rsidRPr="00F61C4D" w14:paraId="46821D06" w14:textId="77777777" w:rsidTr="00805881">
        <w:trPr>
          <w:trHeight w:val="288"/>
        </w:trPr>
        <w:tc>
          <w:tcPr>
            <w:tcW w:w="2430" w:type="dxa"/>
            <w:shd w:val="clear" w:color="auto" w:fill="FFFFFF"/>
            <w:vAlign w:val="center"/>
          </w:tcPr>
          <w:p w14:paraId="5D9B1794" w14:textId="65E04F95"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1E47A49" w14:textId="3CD84510" w:rsidR="00B74267" w:rsidRPr="00F61C4D" w:rsidRDefault="00B74267" w:rsidP="00805881">
            <w:pPr>
              <w:spacing w:before="0" w:after="0" w:line="240" w:lineRule="auto"/>
              <w:jc w:val="center"/>
              <w:rPr>
                <w:rFonts w:eastAsia="Calibri"/>
                <w:color w:val="000000"/>
              </w:rPr>
            </w:pPr>
            <w:r w:rsidRPr="00EC59B7">
              <w:t>V5220</w:t>
            </w:r>
          </w:p>
        </w:tc>
        <w:tc>
          <w:tcPr>
            <w:tcW w:w="7470" w:type="dxa"/>
            <w:shd w:val="clear" w:color="auto" w:fill="FFFFFF"/>
            <w:vAlign w:val="center"/>
          </w:tcPr>
          <w:p w14:paraId="5533FD1D" w14:textId="1C30E637" w:rsidR="00B74267" w:rsidRPr="00F61C4D" w:rsidRDefault="00B74267" w:rsidP="00805881">
            <w:pPr>
              <w:spacing w:before="0" w:after="0" w:line="240" w:lineRule="auto"/>
              <w:jc w:val="left"/>
              <w:rPr>
                <w:rFonts w:eastAsia="Calibri"/>
                <w:color w:val="000000"/>
              </w:rPr>
            </w:pPr>
            <w:r w:rsidRPr="00EC59B7">
              <w:t xml:space="preserve">BEHIND EAR BICROS HEARING AI       </w:t>
            </w:r>
          </w:p>
        </w:tc>
      </w:tr>
      <w:tr w:rsidR="00B74267" w:rsidRPr="00F61C4D" w14:paraId="3762CA31" w14:textId="77777777" w:rsidTr="00805881">
        <w:trPr>
          <w:trHeight w:val="288"/>
        </w:trPr>
        <w:tc>
          <w:tcPr>
            <w:tcW w:w="2430" w:type="dxa"/>
            <w:shd w:val="clear" w:color="auto" w:fill="FFFFFF"/>
            <w:vAlign w:val="center"/>
          </w:tcPr>
          <w:p w14:paraId="08A040B5" w14:textId="684FE805"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6DF04D9" w14:textId="75A2E438" w:rsidR="00B74267" w:rsidRPr="00F61C4D" w:rsidRDefault="00B74267" w:rsidP="00805881">
            <w:pPr>
              <w:spacing w:before="0" w:after="0" w:line="240" w:lineRule="auto"/>
              <w:jc w:val="center"/>
              <w:rPr>
                <w:rFonts w:eastAsia="Calibri"/>
                <w:color w:val="000000"/>
              </w:rPr>
            </w:pPr>
            <w:r w:rsidRPr="00EC59B7">
              <w:t>V5230</w:t>
            </w:r>
          </w:p>
        </w:tc>
        <w:tc>
          <w:tcPr>
            <w:tcW w:w="7470" w:type="dxa"/>
            <w:shd w:val="clear" w:color="auto" w:fill="FFFFFF"/>
            <w:vAlign w:val="center"/>
          </w:tcPr>
          <w:p w14:paraId="34C9A8F0" w14:textId="596B4B04" w:rsidR="00B74267" w:rsidRPr="00F61C4D" w:rsidRDefault="00B74267" w:rsidP="00805881">
            <w:pPr>
              <w:spacing w:before="0" w:after="0" w:line="240" w:lineRule="auto"/>
              <w:jc w:val="left"/>
              <w:rPr>
                <w:rFonts w:eastAsia="Calibri"/>
                <w:color w:val="000000"/>
              </w:rPr>
            </w:pPr>
            <w:r w:rsidRPr="00EC59B7">
              <w:t xml:space="preserve">GLASSES BICROS HEARING AID         </w:t>
            </w:r>
          </w:p>
        </w:tc>
      </w:tr>
      <w:tr w:rsidR="00B74267" w:rsidRPr="00F61C4D" w14:paraId="4952BB5A" w14:textId="77777777" w:rsidTr="00805881">
        <w:trPr>
          <w:trHeight w:val="288"/>
        </w:trPr>
        <w:tc>
          <w:tcPr>
            <w:tcW w:w="2430" w:type="dxa"/>
            <w:shd w:val="clear" w:color="auto" w:fill="FFFFFF"/>
            <w:vAlign w:val="center"/>
          </w:tcPr>
          <w:p w14:paraId="63F38CD2" w14:textId="5233302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116E3806" w14:textId="04FFFEF1" w:rsidR="00B74267" w:rsidRPr="00F61C4D" w:rsidRDefault="00B74267" w:rsidP="00805881">
            <w:pPr>
              <w:spacing w:before="0" w:after="0" w:line="240" w:lineRule="auto"/>
              <w:jc w:val="center"/>
              <w:rPr>
                <w:rFonts w:eastAsia="Calibri"/>
                <w:color w:val="000000"/>
              </w:rPr>
            </w:pPr>
            <w:r w:rsidRPr="00EC59B7">
              <w:t>V5240</w:t>
            </w:r>
          </w:p>
        </w:tc>
        <w:tc>
          <w:tcPr>
            <w:tcW w:w="7470" w:type="dxa"/>
            <w:shd w:val="clear" w:color="auto" w:fill="FFFFFF"/>
            <w:vAlign w:val="center"/>
          </w:tcPr>
          <w:p w14:paraId="4C67E897" w14:textId="26B36BF8" w:rsidR="00B74267" w:rsidRPr="00F61C4D" w:rsidRDefault="00B74267" w:rsidP="00805881">
            <w:pPr>
              <w:spacing w:before="0" w:after="0" w:line="240" w:lineRule="auto"/>
              <w:jc w:val="left"/>
              <w:rPr>
                <w:rFonts w:eastAsia="Calibri"/>
                <w:color w:val="000000"/>
              </w:rPr>
            </w:pPr>
            <w:r w:rsidRPr="00EC59B7">
              <w:t xml:space="preserve">DISPENSING FEE BICROS              </w:t>
            </w:r>
          </w:p>
        </w:tc>
      </w:tr>
      <w:tr w:rsidR="00B74267" w:rsidRPr="00F61C4D" w14:paraId="1EE86DDC" w14:textId="77777777" w:rsidTr="00805881">
        <w:trPr>
          <w:trHeight w:val="288"/>
        </w:trPr>
        <w:tc>
          <w:tcPr>
            <w:tcW w:w="2430" w:type="dxa"/>
            <w:shd w:val="clear" w:color="auto" w:fill="FFFFFF"/>
            <w:vAlign w:val="center"/>
          </w:tcPr>
          <w:p w14:paraId="05EA4504" w14:textId="142D993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7664B5A" w14:textId="2F90D541" w:rsidR="00B74267" w:rsidRPr="00F61C4D" w:rsidRDefault="00B74267" w:rsidP="00805881">
            <w:pPr>
              <w:spacing w:before="0" w:after="0" w:line="240" w:lineRule="auto"/>
              <w:jc w:val="center"/>
              <w:rPr>
                <w:rFonts w:eastAsia="Calibri"/>
                <w:color w:val="111111"/>
              </w:rPr>
            </w:pPr>
            <w:r w:rsidRPr="00EC59B7">
              <w:t>V5241</w:t>
            </w:r>
          </w:p>
        </w:tc>
        <w:tc>
          <w:tcPr>
            <w:tcW w:w="7470" w:type="dxa"/>
            <w:shd w:val="clear" w:color="auto" w:fill="FFFFFF"/>
            <w:vAlign w:val="center"/>
          </w:tcPr>
          <w:p w14:paraId="7A656534" w14:textId="7DC68B08" w:rsidR="00B74267" w:rsidRPr="00F61C4D" w:rsidRDefault="00B74267" w:rsidP="00805881">
            <w:pPr>
              <w:spacing w:before="0" w:after="0" w:line="240" w:lineRule="auto"/>
              <w:jc w:val="left"/>
              <w:rPr>
                <w:rFonts w:eastAsia="Calibri"/>
                <w:color w:val="000000"/>
              </w:rPr>
            </w:pPr>
            <w:r w:rsidRPr="00EC59B7">
              <w:t xml:space="preserve">DISPENSING FEE, MONAURAL           </w:t>
            </w:r>
          </w:p>
        </w:tc>
      </w:tr>
      <w:tr w:rsidR="00B74267" w:rsidRPr="00F61C4D" w14:paraId="4CFBBE76" w14:textId="77777777" w:rsidTr="00805881">
        <w:trPr>
          <w:trHeight w:val="288"/>
        </w:trPr>
        <w:tc>
          <w:tcPr>
            <w:tcW w:w="2430" w:type="dxa"/>
            <w:shd w:val="clear" w:color="auto" w:fill="FFFFFF"/>
            <w:vAlign w:val="center"/>
          </w:tcPr>
          <w:p w14:paraId="55CB4F09" w14:textId="1747972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3A3FC5C" w14:textId="093823BA" w:rsidR="00B74267" w:rsidRPr="00F61C4D" w:rsidRDefault="00B74267" w:rsidP="00805881">
            <w:pPr>
              <w:spacing w:before="0" w:after="0" w:line="240" w:lineRule="auto"/>
              <w:jc w:val="center"/>
              <w:rPr>
                <w:rFonts w:eastAsia="Calibri"/>
                <w:color w:val="000000"/>
              </w:rPr>
            </w:pPr>
            <w:r w:rsidRPr="00EC59B7">
              <w:t>V5242</w:t>
            </w:r>
          </w:p>
        </w:tc>
        <w:tc>
          <w:tcPr>
            <w:tcW w:w="7470" w:type="dxa"/>
            <w:shd w:val="clear" w:color="auto" w:fill="FFFFFF"/>
            <w:vAlign w:val="center"/>
          </w:tcPr>
          <w:p w14:paraId="75154B6E" w14:textId="4D543FD4" w:rsidR="00B74267" w:rsidRPr="00F61C4D" w:rsidRDefault="00B74267" w:rsidP="00805881">
            <w:pPr>
              <w:spacing w:before="0" w:after="0" w:line="240" w:lineRule="auto"/>
              <w:jc w:val="left"/>
              <w:rPr>
                <w:rFonts w:eastAsia="Calibri"/>
                <w:color w:val="000000"/>
              </w:rPr>
            </w:pPr>
            <w:r w:rsidRPr="00EC59B7">
              <w:t xml:space="preserve">HEARING AID, MONAURAL, CIC         </w:t>
            </w:r>
          </w:p>
        </w:tc>
      </w:tr>
      <w:tr w:rsidR="00B74267" w:rsidRPr="00F61C4D" w14:paraId="535D162A" w14:textId="77777777" w:rsidTr="00805881">
        <w:trPr>
          <w:trHeight w:val="288"/>
        </w:trPr>
        <w:tc>
          <w:tcPr>
            <w:tcW w:w="2430" w:type="dxa"/>
            <w:shd w:val="clear" w:color="auto" w:fill="FFFFFF"/>
            <w:vAlign w:val="center"/>
          </w:tcPr>
          <w:p w14:paraId="70C68650" w14:textId="05E11054"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B1B95EA" w14:textId="697365D1" w:rsidR="00B74267" w:rsidRPr="00F61C4D" w:rsidRDefault="00B74267" w:rsidP="00805881">
            <w:pPr>
              <w:spacing w:before="0" w:after="0" w:line="240" w:lineRule="auto"/>
              <w:jc w:val="center"/>
              <w:rPr>
                <w:rFonts w:eastAsia="Calibri"/>
                <w:color w:val="111111"/>
              </w:rPr>
            </w:pPr>
            <w:r w:rsidRPr="00EC59B7">
              <w:t>V5243</w:t>
            </w:r>
          </w:p>
        </w:tc>
        <w:tc>
          <w:tcPr>
            <w:tcW w:w="7470" w:type="dxa"/>
            <w:shd w:val="clear" w:color="auto" w:fill="FFFFFF"/>
            <w:vAlign w:val="center"/>
          </w:tcPr>
          <w:p w14:paraId="3C52E662" w14:textId="62BA263E" w:rsidR="00B74267" w:rsidRPr="00F61C4D" w:rsidRDefault="00B74267" w:rsidP="00805881">
            <w:pPr>
              <w:spacing w:before="0" w:after="0" w:line="240" w:lineRule="auto"/>
              <w:jc w:val="left"/>
              <w:rPr>
                <w:rFonts w:eastAsia="Calibri"/>
                <w:color w:val="000000"/>
              </w:rPr>
            </w:pPr>
            <w:r w:rsidRPr="00EC59B7">
              <w:t xml:space="preserve">HEARING AID, MONAURAL, ITC         </w:t>
            </w:r>
          </w:p>
        </w:tc>
      </w:tr>
      <w:tr w:rsidR="00B74267" w:rsidRPr="00F61C4D" w14:paraId="71B49BAD" w14:textId="77777777" w:rsidTr="00805881">
        <w:trPr>
          <w:trHeight w:val="288"/>
        </w:trPr>
        <w:tc>
          <w:tcPr>
            <w:tcW w:w="2430" w:type="dxa"/>
            <w:shd w:val="clear" w:color="auto" w:fill="FFFFFF"/>
            <w:vAlign w:val="center"/>
          </w:tcPr>
          <w:p w14:paraId="35283DEC" w14:textId="08CA7EEB" w:rsidR="00B74267" w:rsidRPr="00F61C4D" w:rsidRDefault="00B74267" w:rsidP="00805881">
            <w:pPr>
              <w:spacing w:before="0" w:after="0" w:line="240" w:lineRule="auto"/>
              <w:jc w:val="left"/>
              <w:rPr>
                <w:rFonts w:eastAsia="Calibri"/>
              </w:rPr>
            </w:pPr>
            <w:r w:rsidRPr="00EC59B7">
              <w:lastRenderedPageBreak/>
              <w:t>Hearing Aid</w:t>
            </w:r>
          </w:p>
        </w:tc>
        <w:tc>
          <w:tcPr>
            <w:tcW w:w="1260" w:type="dxa"/>
            <w:shd w:val="clear" w:color="auto" w:fill="FFFFFF"/>
            <w:vAlign w:val="center"/>
          </w:tcPr>
          <w:p w14:paraId="63DC5974" w14:textId="7DD90315" w:rsidR="00B74267" w:rsidRPr="00F61C4D" w:rsidRDefault="00B74267" w:rsidP="00805881">
            <w:pPr>
              <w:spacing w:before="0" w:after="0" w:line="240" w:lineRule="auto"/>
              <w:jc w:val="center"/>
              <w:rPr>
                <w:rFonts w:eastAsia="Calibri"/>
                <w:color w:val="000000"/>
              </w:rPr>
            </w:pPr>
            <w:r w:rsidRPr="00EC59B7">
              <w:t>V5244</w:t>
            </w:r>
          </w:p>
        </w:tc>
        <w:tc>
          <w:tcPr>
            <w:tcW w:w="7470" w:type="dxa"/>
            <w:shd w:val="clear" w:color="auto" w:fill="FFFFFF"/>
            <w:vAlign w:val="center"/>
          </w:tcPr>
          <w:p w14:paraId="1760A55D" w14:textId="1792FB08" w:rsidR="00B74267" w:rsidRPr="00F61C4D" w:rsidRDefault="00B74267" w:rsidP="00805881">
            <w:pPr>
              <w:spacing w:before="0" w:after="0" w:line="240" w:lineRule="auto"/>
              <w:jc w:val="left"/>
              <w:rPr>
                <w:rFonts w:eastAsia="Calibri"/>
                <w:color w:val="000000"/>
              </w:rPr>
            </w:pPr>
            <w:r w:rsidRPr="00EC59B7">
              <w:t xml:space="preserve">HEARING AID, PROG, MON, CIC        </w:t>
            </w:r>
          </w:p>
        </w:tc>
      </w:tr>
      <w:tr w:rsidR="00B74267" w:rsidRPr="00F61C4D" w14:paraId="0CC201D3" w14:textId="77777777" w:rsidTr="00805881">
        <w:trPr>
          <w:trHeight w:val="288"/>
        </w:trPr>
        <w:tc>
          <w:tcPr>
            <w:tcW w:w="2430" w:type="dxa"/>
            <w:shd w:val="clear" w:color="auto" w:fill="auto"/>
            <w:vAlign w:val="center"/>
          </w:tcPr>
          <w:p w14:paraId="38C53336" w14:textId="498C4793"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004A5FBC" w14:textId="6EFB3E12" w:rsidR="00B74267" w:rsidRPr="00F61C4D" w:rsidRDefault="00B74267" w:rsidP="00805881">
            <w:pPr>
              <w:spacing w:before="0" w:after="0" w:line="240" w:lineRule="auto"/>
              <w:jc w:val="center"/>
              <w:rPr>
                <w:rFonts w:eastAsia="Calibri"/>
                <w:color w:val="000000"/>
              </w:rPr>
            </w:pPr>
            <w:r w:rsidRPr="00EC59B7">
              <w:t>V5245</w:t>
            </w:r>
          </w:p>
        </w:tc>
        <w:tc>
          <w:tcPr>
            <w:tcW w:w="7470" w:type="dxa"/>
            <w:shd w:val="clear" w:color="auto" w:fill="auto"/>
            <w:vAlign w:val="center"/>
          </w:tcPr>
          <w:p w14:paraId="40475CDB" w14:textId="223C51D9" w:rsidR="00B74267" w:rsidRPr="00F61C4D" w:rsidRDefault="00B74267" w:rsidP="00805881">
            <w:pPr>
              <w:spacing w:before="0" w:after="0" w:line="240" w:lineRule="auto"/>
              <w:jc w:val="left"/>
              <w:rPr>
                <w:rFonts w:eastAsia="Calibri"/>
                <w:color w:val="000000"/>
              </w:rPr>
            </w:pPr>
            <w:r w:rsidRPr="00EC59B7">
              <w:t xml:space="preserve">HEARING AID, PROG, MON, ITC        </w:t>
            </w:r>
          </w:p>
        </w:tc>
      </w:tr>
      <w:tr w:rsidR="00B74267" w:rsidRPr="00F61C4D" w14:paraId="563D4FA1" w14:textId="77777777" w:rsidTr="00805881">
        <w:trPr>
          <w:trHeight w:val="288"/>
        </w:trPr>
        <w:tc>
          <w:tcPr>
            <w:tcW w:w="2430" w:type="dxa"/>
            <w:shd w:val="clear" w:color="auto" w:fill="FFFFFF"/>
            <w:vAlign w:val="center"/>
          </w:tcPr>
          <w:p w14:paraId="09CCA95D" w14:textId="0A8E276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B8A009F" w14:textId="71719A32" w:rsidR="00B74267" w:rsidRPr="00F61C4D" w:rsidRDefault="00B74267" w:rsidP="00805881">
            <w:pPr>
              <w:spacing w:before="0" w:after="0" w:line="240" w:lineRule="auto"/>
              <w:jc w:val="center"/>
              <w:rPr>
                <w:rFonts w:eastAsia="Calibri"/>
                <w:color w:val="111111"/>
              </w:rPr>
            </w:pPr>
            <w:r w:rsidRPr="00EC59B7">
              <w:t>V5246</w:t>
            </w:r>
          </w:p>
        </w:tc>
        <w:tc>
          <w:tcPr>
            <w:tcW w:w="7470" w:type="dxa"/>
            <w:shd w:val="clear" w:color="auto" w:fill="FFFFFF"/>
            <w:vAlign w:val="center"/>
          </w:tcPr>
          <w:p w14:paraId="48469134" w14:textId="51CBA76A" w:rsidR="00B74267" w:rsidRPr="00F61C4D" w:rsidRDefault="00B74267" w:rsidP="00805881">
            <w:pPr>
              <w:spacing w:before="0" w:after="0" w:line="240" w:lineRule="auto"/>
              <w:jc w:val="left"/>
              <w:rPr>
                <w:rFonts w:eastAsia="Calibri"/>
                <w:color w:val="111111"/>
              </w:rPr>
            </w:pPr>
            <w:r w:rsidRPr="00EC59B7">
              <w:t xml:space="preserve">HEARING AID, PROG, MON, ITE        </w:t>
            </w:r>
          </w:p>
        </w:tc>
      </w:tr>
      <w:tr w:rsidR="00B74267" w:rsidRPr="00F61C4D" w14:paraId="178EB709" w14:textId="77777777" w:rsidTr="00805881">
        <w:trPr>
          <w:trHeight w:val="288"/>
        </w:trPr>
        <w:tc>
          <w:tcPr>
            <w:tcW w:w="2430" w:type="dxa"/>
            <w:shd w:val="clear" w:color="auto" w:fill="FFFFFF"/>
            <w:vAlign w:val="center"/>
          </w:tcPr>
          <w:p w14:paraId="0924C83B" w14:textId="64FCAEF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32232C2" w14:textId="37EF7EA0" w:rsidR="00B74267" w:rsidRPr="00F61C4D" w:rsidRDefault="00B74267" w:rsidP="00805881">
            <w:pPr>
              <w:spacing w:before="0" w:after="0" w:line="240" w:lineRule="auto"/>
              <w:jc w:val="center"/>
              <w:rPr>
                <w:rFonts w:eastAsia="Calibri"/>
                <w:color w:val="000000"/>
              </w:rPr>
            </w:pPr>
            <w:r w:rsidRPr="00EC59B7">
              <w:t>V5247</w:t>
            </w:r>
          </w:p>
        </w:tc>
        <w:tc>
          <w:tcPr>
            <w:tcW w:w="7470" w:type="dxa"/>
            <w:shd w:val="clear" w:color="auto" w:fill="FFFFFF"/>
            <w:vAlign w:val="center"/>
          </w:tcPr>
          <w:p w14:paraId="32022694" w14:textId="2ABB1880" w:rsidR="00B74267" w:rsidRPr="00F61C4D" w:rsidRDefault="00B74267" w:rsidP="00805881">
            <w:pPr>
              <w:spacing w:before="0" w:after="0" w:line="240" w:lineRule="auto"/>
              <w:jc w:val="left"/>
              <w:rPr>
                <w:rFonts w:eastAsia="Calibri"/>
                <w:color w:val="000000"/>
              </w:rPr>
            </w:pPr>
            <w:r w:rsidRPr="00EC59B7">
              <w:t xml:space="preserve">HEARING AID, PROG, MON, BTE        </w:t>
            </w:r>
          </w:p>
        </w:tc>
      </w:tr>
      <w:tr w:rsidR="00B74267" w:rsidRPr="00F61C4D" w14:paraId="4C6AD0B1" w14:textId="77777777" w:rsidTr="00805881">
        <w:trPr>
          <w:trHeight w:val="288"/>
        </w:trPr>
        <w:tc>
          <w:tcPr>
            <w:tcW w:w="2430" w:type="dxa"/>
            <w:shd w:val="clear" w:color="auto" w:fill="FFFFFF"/>
            <w:vAlign w:val="center"/>
          </w:tcPr>
          <w:p w14:paraId="5910A1BF" w14:textId="4ACFEF3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E19EF2E" w14:textId="0584B614" w:rsidR="00B74267" w:rsidRPr="00F61C4D" w:rsidRDefault="00B74267" w:rsidP="00805881">
            <w:pPr>
              <w:spacing w:before="0" w:after="0" w:line="240" w:lineRule="auto"/>
              <w:jc w:val="center"/>
              <w:rPr>
                <w:rFonts w:eastAsia="Calibri"/>
                <w:color w:val="000000"/>
              </w:rPr>
            </w:pPr>
            <w:r w:rsidRPr="00EC59B7">
              <w:t>V5248</w:t>
            </w:r>
          </w:p>
        </w:tc>
        <w:tc>
          <w:tcPr>
            <w:tcW w:w="7470" w:type="dxa"/>
            <w:shd w:val="clear" w:color="auto" w:fill="FFFFFF"/>
            <w:vAlign w:val="center"/>
          </w:tcPr>
          <w:p w14:paraId="73F9ACE5" w14:textId="5C86A9F4" w:rsidR="00B74267" w:rsidRPr="00F61C4D" w:rsidRDefault="00B74267" w:rsidP="00805881">
            <w:pPr>
              <w:spacing w:before="0" w:after="0" w:line="240" w:lineRule="auto"/>
              <w:jc w:val="left"/>
              <w:rPr>
                <w:rFonts w:eastAsia="Calibri"/>
                <w:color w:val="000000"/>
              </w:rPr>
            </w:pPr>
            <w:r w:rsidRPr="00EC59B7">
              <w:t xml:space="preserve">HEARING AID, BINAURAL, CIC         </w:t>
            </w:r>
          </w:p>
        </w:tc>
      </w:tr>
      <w:tr w:rsidR="00B74267" w:rsidRPr="00F61C4D" w14:paraId="7A3AF597" w14:textId="77777777" w:rsidTr="00805881">
        <w:trPr>
          <w:trHeight w:val="288"/>
        </w:trPr>
        <w:tc>
          <w:tcPr>
            <w:tcW w:w="2430" w:type="dxa"/>
            <w:shd w:val="clear" w:color="auto" w:fill="FFFFFF"/>
            <w:vAlign w:val="center"/>
          </w:tcPr>
          <w:p w14:paraId="38D4E7C0" w14:textId="7D1FC762"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ACB753C" w14:textId="39FEE605" w:rsidR="00B74267" w:rsidRPr="00F61C4D" w:rsidRDefault="00B74267" w:rsidP="00805881">
            <w:pPr>
              <w:spacing w:before="0" w:after="0" w:line="240" w:lineRule="auto"/>
              <w:jc w:val="center"/>
              <w:rPr>
                <w:rFonts w:eastAsia="Calibri"/>
                <w:color w:val="111111"/>
              </w:rPr>
            </w:pPr>
            <w:r w:rsidRPr="00EC59B7">
              <w:t>V5249</w:t>
            </w:r>
          </w:p>
        </w:tc>
        <w:tc>
          <w:tcPr>
            <w:tcW w:w="7470" w:type="dxa"/>
            <w:shd w:val="clear" w:color="auto" w:fill="FFFFFF"/>
            <w:vAlign w:val="center"/>
          </w:tcPr>
          <w:p w14:paraId="4A5D5963" w14:textId="4475A3F5" w:rsidR="00B74267" w:rsidRPr="00F61C4D" w:rsidRDefault="00B74267" w:rsidP="00805881">
            <w:pPr>
              <w:spacing w:before="0" w:after="0" w:line="240" w:lineRule="auto"/>
              <w:jc w:val="left"/>
              <w:rPr>
                <w:rFonts w:eastAsia="Calibri"/>
                <w:color w:val="000000"/>
              </w:rPr>
            </w:pPr>
            <w:r w:rsidRPr="00EC59B7">
              <w:t xml:space="preserve">HEARING AID, BINAURAL, ITC         </w:t>
            </w:r>
          </w:p>
        </w:tc>
      </w:tr>
      <w:tr w:rsidR="00B74267" w:rsidRPr="00F61C4D" w14:paraId="26EDBEDD" w14:textId="77777777" w:rsidTr="00805881">
        <w:trPr>
          <w:trHeight w:val="288"/>
        </w:trPr>
        <w:tc>
          <w:tcPr>
            <w:tcW w:w="2430" w:type="dxa"/>
            <w:shd w:val="clear" w:color="auto" w:fill="FFFFFF"/>
            <w:vAlign w:val="center"/>
          </w:tcPr>
          <w:p w14:paraId="42EC9EC3" w14:textId="0D14BFBA"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A9370E4" w14:textId="1618F9F7" w:rsidR="00B74267" w:rsidRPr="00F61C4D" w:rsidRDefault="00B74267" w:rsidP="00805881">
            <w:pPr>
              <w:spacing w:before="0" w:after="0" w:line="240" w:lineRule="auto"/>
              <w:jc w:val="center"/>
              <w:rPr>
                <w:rFonts w:eastAsia="Calibri"/>
                <w:color w:val="000000"/>
              </w:rPr>
            </w:pPr>
            <w:r w:rsidRPr="00EC59B7">
              <w:t>V5250</w:t>
            </w:r>
          </w:p>
        </w:tc>
        <w:tc>
          <w:tcPr>
            <w:tcW w:w="7470" w:type="dxa"/>
            <w:shd w:val="clear" w:color="auto" w:fill="FFFFFF"/>
            <w:vAlign w:val="center"/>
          </w:tcPr>
          <w:p w14:paraId="555E8A55" w14:textId="6F512CD1" w:rsidR="00B74267" w:rsidRPr="00F61C4D" w:rsidRDefault="00B74267" w:rsidP="00805881">
            <w:pPr>
              <w:spacing w:before="0" w:after="0" w:line="240" w:lineRule="auto"/>
              <w:jc w:val="left"/>
              <w:rPr>
                <w:rFonts w:eastAsia="Calibri"/>
                <w:color w:val="000000"/>
              </w:rPr>
            </w:pPr>
            <w:r w:rsidRPr="00EC59B7">
              <w:t xml:space="preserve">HEARING AID, PROG, BIN, CIC        </w:t>
            </w:r>
          </w:p>
        </w:tc>
      </w:tr>
      <w:tr w:rsidR="00B74267" w:rsidRPr="00F61C4D" w14:paraId="603F212C" w14:textId="77777777" w:rsidTr="00805881">
        <w:trPr>
          <w:trHeight w:val="288"/>
        </w:trPr>
        <w:tc>
          <w:tcPr>
            <w:tcW w:w="2430" w:type="dxa"/>
            <w:shd w:val="clear" w:color="auto" w:fill="FFFFFF"/>
            <w:vAlign w:val="center"/>
          </w:tcPr>
          <w:p w14:paraId="09BFF1EA" w14:textId="36445D1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3B05861" w14:textId="5DE6CEDD" w:rsidR="00B74267" w:rsidRPr="00F61C4D" w:rsidRDefault="00B74267" w:rsidP="00805881">
            <w:pPr>
              <w:spacing w:before="0" w:after="0" w:line="240" w:lineRule="auto"/>
              <w:jc w:val="center"/>
              <w:rPr>
                <w:rFonts w:eastAsia="Calibri"/>
                <w:color w:val="000000"/>
              </w:rPr>
            </w:pPr>
            <w:r w:rsidRPr="00EC59B7">
              <w:t>V5251</w:t>
            </w:r>
          </w:p>
        </w:tc>
        <w:tc>
          <w:tcPr>
            <w:tcW w:w="7470" w:type="dxa"/>
            <w:shd w:val="clear" w:color="auto" w:fill="FFFFFF"/>
            <w:vAlign w:val="center"/>
          </w:tcPr>
          <w:p w14:paraId="3F3B47D2" w14:textId="2010713B" w:rsidR="00B74267" w:rsidRPr="00F61C4D" w:rsidRDefault="00B74267" w:rsidP="00805881">
            <w:pPr>
              <w:spacing w:before="0" w:after="0" w:line="240" w:lineRule="auto"/>
              <w:jc w:val="left"/>
              <w:rPr>
                <w:rFonts w:eastAsia="Calibri"/>
                <w:color w:val="000000"/>
              </w:rPr>
            </w:pPr>
            <w:r w:rsidRPr="00EC59B7">
              <w:t xml:space="preserve">HEARING AID, PROG, BIN, ITC        </w:t>
            </w:r>
          </w:p>
        </w:tc>
      </w:tr>
      <w:tr w:rsidR="00B74267" w:rsidRPr="00F61C4D" w14:paraId="4B23AB6F" w14:textId="77777777" w:rsidTr="00805881">
        <w:trPr>
          <w:trHeight w:val="288"/>
        </w:trPr>
        <w:tc>
          <w:tcPr>
            <w:tcW w:w="2430" w:type="dxa"/>
            <w:shd w:val="clear" w:color="auto" w:fill="FFFFFF"/>
            <w:vAlign w:val="center"/>
          </w:tcPr>
          <w:p w14:paraId="70E885AD" w14:textId="4567053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35D1EE2" w14:textId="54C9178A" w:rsidR="00B74267" w:rsidRPr="00F61C4D" w:rsidRDefault="00B74267" w:rsidP="00805881">
            <w:pPr>
              <w:spacing w:before="0" w:after="0" w:line="240" w:lineRule="auto"/>
              <w:jc w:val="center"/>
              <w:rPr>
                <w:rFonts w:eastAsia="Calibri"/>
                <w:color w:val="000000"/>
              </w:rPr>
            </w:pPr>
            <w:r w:rsidRPr="00EC59B7">
              <w:t>V5252</w:t>
            </w:r>
          </w:p>
        </w:tc>
        <w:tc>
          <w:tcPr>
            <w:tcW w:w="7470" w:type="dxa"/>
            <w:shd w:val="clear" w:color="auto" w:fill="FFFFFF"/>
            <w:vAlign w:val="center"/>
          </w:tcPr>
          <w:p w14:paraId="46768045" w14:textId="20064A9E" w:rsidR="00B74267" w:rsidRPr="00F61C4D" w:rsidRDefault="00B74267" w:rsidP="00805881">
            <w:pPr>
              <w:spacing w:before="0" w:after="0" w:line="240" w:lineRule="auto"/>
              <w:jc w:val="left"/>
              <w:rPr>
                <w:rFonts w:eastAsia="Calibri"/>
                <w:color w:val="000000"/>
              </w:rPr>
            </w:pPr>
            <w:r w:rsidRPr="00EC59B7">
              <w:t xml:space="preserve">HEARING AID, PROG, BIN, ITE        </w:t>
            </w:r>
          </w:p>
        </w:tc>
      </w:tr>
      <w:tr w:rsidR="00B74267" w:rsidRPr="00F61C4D" w14:paraId="41C7AA2B" w14:textId="77777777" w:rsidTr="00805881">
        <w:trPr>
          <w:trHeight w:val="288"/>
        </w:trPr>
        <w:tc>
          <w:tcPr>
            <w:tcW w:w="2430" w:type="dxa"/>
            <w:shd w:val="clear" w:color="auto" w:fill="FFFFFF"/>
            <w:vAlign w:val="center"/>
          </w:tcPr>
          <w:p w14:paraId="3274AF65" w14:textId="5D541BC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1798903" w14:textId="3015AC01" w:rsidR="00B74267" w:rsidRPr="00F61C4D" w:rsidRDefault="00B74267" w:rsidP="00805881">
            <w:pPr>
              <w:spacing w:before="0" w:after="0" w:line="240" w:lineRule="auto"/>
              <w:jc w:val="center"/>
              <w:rPr>
                <w:rFonts w:eastAsia="Calibri"/>
                <w:color w:val="111111"/>
              </w:rPr>
            </w:pPr>
            <w:r w:rsidRPr="00EC59B7">
              <w:t>V5253</w:t>
            </w:r>
          </w:p>
        </w:tc>
        <w:tc>
          <w:tcPr>
            <w:tcW w:w="7470" w:type="dxa"/>
            <w:shd w:val="clear" w:color="auto" w:fill="FFFFFF"/>
            <w:vAlign w:val="center"/>
          </w:tcPr>
          <w:p w14:paraId="6E8A1154" w14:textId="702FBB2F" w:rsidR="00B74267" w:rsidRPr="00F61C4D" w:rsidRDefault="00B74267" w:rsidP="00805881">
            <w:pPr>
              <w:spacing w:before="0" w:after="0" w:line="240" w:lineRule="auto"/>
              <w:jc w:val="left"/>
              <w:rPr>
                <w:rFonts w:eastAsia="Calibri"/>
                <w:color w:val="000000"/>
              </w:rPr>
            </w:pPr>
            <w:r w:rsidRPr="00EC59B7">
              <w:t xml:space="preserve">HEARING AID, PROG, BIN, BTE        </w:t>
            </w:r>
          </w:p>
        </w:tc>
      </w:tr>
      <w:tr w:rsidR="00B74267" w:rsidRPr="00F61C4D" w14:paraId="7983DF7E" w14:textId="77777777" w:rsidTr="00805881">
        <w:trPr>
          <w:trHeight w:val="288"/>
        </w:trPr>
        <w:tc>
          <w:tcPr>
            <w:tcW w:w="2430" w:type="dxa"/>
            <w:shd w:val="clear" w:color="auto" w:fill="FFFFFF"/>
            <w:vAlign w:val="center"/>
          </w:tcPr>
          <w:p w14:paraId="23D807C5" w14:textId="3F6B2B7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1AEC35E" w14:textId="2A84C861" w:rsidR="00B74267" w:rsidRPr="00F61C4D" w:rsidRDefault="00B74267" w:rsidP="00805881">
            <w:pPr>
              <w:spacing w:before="0" w:after="0" w:line="240" w:lineRule="auto"/>
              <w:jc w:val="center"/>
              <w:rPr>
                <w:rFonts w:eastAsia="Calibri"/>
                <w:color w:val="000000"/>
              </w:rPr>
            </w:pPr>
            <w:r w:rsidRPr="00EC59B7">
              <w:t>V5254</w:t>
            </w:r>
          </w:p>
        </w:tc>
        <w:tc>
          <w:tcPr>
            <w:tcW w:w="7470" w:type="dxa"/>
            <w:shd w:val="clear" w:color="auto" w:fill="FFFFFF"/>
            <w:vAlign w:val="center"/>
          </w:tcPr>
          <w:p w14:paraId="1889CCD6" w14:textId="26EE4C51" w:rsidR="00B74267" w:rsidRPr="00F61C4D" w:rsidRDefault="00B74267" w:rsidP="00805881">
            <w:pPr>
              <w:spacing w:before="0" w:after="0" w:line="240" w:lineRule="auto"/>
              <w:jc w:val="left"/>
              <w:rPr>
                <w:rFonts w:eastAsia="Calibri"/>
                <w:color w:val="000000"/>
              </w:rPr>
            </w:pPr>
            <w:r w:rsidRPr="00EC59B7">
              <w:t xml:space="preserve">HEARING ID, DIGIT, MON, CIC        </w:t>
            </w:r>
          </w:p>
        </w:tc>
      </w:tr>
      <w:tr w:rsidR="00B74267" w:rsidRPr="00F61C4D" w14:paraId="3D6FC5D2" w14:textId="77777777" w:rsidTr="00805881">
        <w:trPr>
          <w:trHeight w:val="288"/>
        </w:trPr>
        <w:tc>
          <w:tcPr>
            <w:tcW w:w="2430" w:type="dxa"/>
            <w:shd w:val="clear" w:color="auto" w:fill="FFFFFF"/>
            <w:vAlign w:val="center"/>
          </w:tcPr>
          <w:p w14:paraId="5321D5FD" w14:textId="5BD1D8A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541B366E" w14:textId="5AB837E6" w:rsidR="00B74267" w:rsidRPr="00F61C4D" w:rsidRDefault="00B74267" w:rsidP="00805881">
            <w:pPr>
              <w:spacing w:before="0" w:after="0" w:line="240" w:lineRule="auto"/>
              <w:jc w:val="center"/>
              <w:rPr>
                <w:rFonts w:eastAsia="Calibri"/>
                <w:color w:val="111111"/>
              </w:rPr>
            </w:pPr>
            <w:r w:rsidRPr="00EC59B7">
              <w:t>V5255</w:t>
            </w:r>
          </w:p>
        </w:tc>
        <w:tc>
          <w:tcPr>
            <w:tcW w:w="7470" w:type="dxa"/>
            <w:shd w:val="clear" w:color="auto" w:fill="FFFFFF"/>
            <w:vAlign w:val="center"/>
          </w:tcPr>
          <w:p w14:paraId="33040CE7" w14:textId="48BB2BE5" w:rsidR="00B74267" w:rsidRPr="00F61C4D" w:rsidRDefault="00B74267" w:rsidP="00805881">
            <w:pPr>
              <w:spacing w:before="0" w:after="0" w:line="240" w:lineRule="auto"/>
              <w:jc w:val="left"/>
              <w:rPr>
                <w:rFonts w:eastAsia="Calibri"/>
                <w:color w:val="000000"/>
              </w:rPr>
            </w:pPr>
            <w:r w:rsidRPr="00EC59B7">
              <w:t xml:space="preserve">HEARING AID, DIGIT, MON, ITC       </w:t>
            </w:r>
          </w:p>
        </w:tc>
      </w:tr>
      <w:tr w:rsidR="00B74267" w:rsidRPr="00F61C4D" w14:paraId="7F36C372" w14:textId="77777777" w:rsidTr="00805881">
        <w:trPr>
          <w:trHeight w:val="288"/>
        </w:trPr>
        <w:tc>
          <w:tcPr>
            <w:tcW w:w="2430" w:type="dxa"/>
            <w:shd w:val="clear" w:color="auto" w:fill="FFFFFF"/>
            <w:vAlign w:val="center"/>
          </w:tcPr>
          <w:p w14:paraId="0404E335" w14:textId="5885FAC0"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A8D1A88" w14:textId="1BE98E21" w:rsidR="00B74267" w:rsidRPr="00F61C4D" w:rsidRDefault="00B74267" w:rsidP="00805881">
            <w:pPr>
              <w:spacing w:before="0" w:after="0" w:line="240" w:lineRule="auto"/>
              <w:jc w:val="center"/>
              <w:rPr>
                <w:rFonts w:eastAsia="Calibri"/>
                <w:color w:val="000000"/>
              </w:rPr>
            </w:pPr>
            <w:r w:rsidRPr="00EC59B7">
              <w:t>V5256</w:t>
            </w:r>
          </w:p>
        </w:tc>
        <w:tc>
          <w:tcPr>
            <w:tcW w:w="7470" w:type="dxa"/>
            <w:shd w:val="clear" w:color="auto" w:fill="FFFFFF"/>
            <w:vAlign w:val="center"/>
          </w:tcPr>
          <w:p w14:paraId="223FA8AD" w14:textId="58F71901" w:rsidR="00B74267" w:rsidRPr="00F61C4D" w:rsidRDefault="00B74267" w:rsidP="00805881">
            <w:pPr>
              <w:spacing w:before="0" w:after="0" w:line="240" w:lineRule="auto"/>
              <w:jc w:val="left"/>
              <w:rPr>
                <w:rFonts w:eastAsia="Calibri"/>
                <w:color w:val="000000"/>
              </w:rPr>
            </w:pPr>
            <w:r w:rsidRPr="00EC59B7">
              <w:t xml:space="preserve">HEARING AID, DIGIT, MON, ITE       </w:t>
            </w:r>
          </w:p>
        </w:tc>
      </w:tr>
      <w:tr w:rsidR="00B74267" w:rsidRPr="00F61C4D" w14:paraId="55008AE8" w14:textId="77777777" w:rsidTr="00805881">
        <w:trPr>
          <w:trHeight w:val="288"/>
        </w:trPr>
        <w:tc>
          <w:tcPr>
            <w:tcW w:w="2430" w:type="dxa"/>
            <w:shd w:val="clear" w:color="auto" w:fill="FFFFFF"/>
            <w:vAlign w:val="center"/>
          </w:tcPr>
          <w:p w14:paraId="72F4DB01" w14:textId="4E86D80F"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682B976" w14:textId="09B0206C" w:rsidR="00B74267" w:rsidRPr="00F61C4D" w:rsidRDefault="00B74267" w:rsidP="00805881">
            <w:pPr>
              <w:spacing w:before="0" w:after="0" w:line="240" w:lineRule="auto"/>
              <w:jc w:val="center"/>
              <w:rPr>
                <w:rFonts w:eastAsia="Calibri"/>
                <w:color w:val="000000"/>
              </w:rPr>
            </w:pPr>
            <w:r w:rsidRPr="00EC59B7">
              <w:t>V5257</w:t>
            </w:r>
          </w:p>
        </w:tc>
        <w:tc>
          <w:tcPr>
            <w:tcW w:w="7470" w:type="dxa"/>
            <w:shd w:val="clear" w:color="auto" w:fill="FFFFFF"/>
            <w:vAlign w:val="center"/>
          </w:tcPr>
          <w:p w14:paraId="5011C6B2" w14:textId="412C9103" w:rsidR="00B74267" w:rsidRPr="00F61C4D" w:rsidRDefault="00B74267" w:rsidP="00805881">
            <w:pPr>
              <w:spacing w:before="0" w:after="0" w:line="240" w:lineRule="auto"/>
              <w:jc w:val="left"/>
              <w:rPr>
                <w:rFonts w:eastAsia="Calibri"/>
                <w:color w:val="000000"/>
              </w:rPr>
            </w:pPr>
            <w:r w:rsidRPr="00EC59B7">
              <w:t xml:space="preserve">HEARING AID, DIGIT, MON, BTE       </w:t>
            </w:r>
          </w:p>
        </w:tc>
      </w:tr>
      <w:tr w:rsidR="00B74267" w:rsidRPr="00F61C4D" w14:paraId="4AB5E60E" w14:textId="77777777" w:rsidTr="00805881">
        <w:trPr>
          <w:trHeight w:val="288"/>
        </w:trPr>
        <w:tc>
          <w:tcPr>
            <w:tcW w:w="2430" w:type="dxa"/>
            <w:shd w:val="clear" w:color="auto" w:fill="FFFFFF"/>
            <w:vAlign w:val="center"/>
          </w:tcPr>
          <w:p w14:paraId="15E080D1" w14:textId="2C51DA5F"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auto"/>
            <w:vAlign w:val="center"/>
          </w:tcPr>
          <w:p w14:paraId="60BA7FB5" w14:textId="59E430EF" w:rsidR="00B74267" w:rsidRPr="00F61C4D" w:rsidRDefault="00B74267" w:rsidP="00805881">
            <w:pPr>
              <w:spacing w:before="0" w:after="0" w:line="240" w:lineRule="auto"/>
              <w:jc w:val="center"/>
              <w:rPr>
                <w:rFonts w:eastAsia="Calibri"/>
                <w:color w:val="000000"/>
              </w:rPr>
            </w:pPr>
            <w:r w:rsidRPr="00EC59B7">
              <w:t>V5258</w:t>
            </w:r>
          </w:p>
        </w:tc>
        <w:tc>
          <w:tcPr>
            <w:tcW w:w="7470" w:type="dxa"/>
            <w:shd w:val="clear" w:color="auto" w:fill="FFFFFF"/>
            <w:vAlign w:val="center"/>
          </w:tcPr>
          <w:p w14:paraId="6DC21BEB" w14:textId="13671DE1" w:rsidR="00B74267" w:rsidRPr="00F61C4D" w:rsidRDefault="00B74267" w:rsidP="00805881">
            <w:pPr>
              <w:spacing w:before="0" w:after="0" w:line="240" w:lineRule="auto"/>
              <w:jc w:val="left"/>
              <w:rPr>
                <w:rFonts w:eastAsia="Calibri"/>
              </w:rPr>
            </w:pPr>
            <w:r w:rsidRPr="00EC59B7">
              <w:t xml:space="preserve">HEARING AID, DIGIT, BIN, CIC       </w:t>
            </w:r>
          </w:p>
        </w:tc>
      </w:tr>
      <w:tr w:rsidR="00B74267" w:rsidRPr="00F61C4D" w14:paraId="061403C6" w14:textId="77777777" w:rsidTr="00805881">
        <w:trPr>
          <w:trHeight w:val="288"/>
        </w:trPr>
        <w:tc>
          <w:tcPr>
            <w:tcW w:w="2430" w:type="dxa"/>
            <w:shd w:val="clear" w:color="auto" w:fill="auto"/>
            <w:vAlign w:val="center"/>
          </w:tcPr>
          <w:p w14:paraId="3F477F47" w14:textId="5CEB0265"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34EA989E" w14:textId="100B4190" w:rsidR="00B74267" w:rsidRPr="00F61C4D" w:rsidRDefault="00B74267" w:rsidP="00805881">
            <w:pPr>
              <w:spacing w:before="0" w:after="0" w:line="240" w:lineRule="auto"/>
              <w:jc w:val="center"/>
              <w:rPr>
                <w:rFonts w:eastAsia="Calibri"/>
                <w:color w:val="000000"/>
              </w:rPr>
            </w:pPr>
            <w:r w:rsidRPr="00EC59B7">
              <w:t>V5259</w:t>
            </w:r>
          </w:p>
        </w:tc>
        <w:tc>
          <w:tcPr>
            <w:tcW w:w="7470" w:type="dxa"/>
            <w:shd w:val="clear" w:color="auto" w:fill="auto"/>
            <w:vAlign w:val="center"/>
          </w:tcPr>
          <w:p w14:paraId="26EDA65D" w14:textId="748BA496" w:rsidR="00B74267" w:rsidRPr="00F61C4D" w:rsidRDefault="00B74267" w:rsidP="00805881">
            <w:pPr>
              <w:spacing w:before="0" w:after="0" w:line="240" w:lineRule="auto"/>
              <w:jc w:val="left"/>
              <w:rPr>
                <w:rFonts w:eastAsia="Calibri"/>
                <w:color w:val="000000"/>
              </w:rPr>
            </w:pPr>
            <w:r w:rsidRPr="00EC59B7">
              <w:t xml:space="preserve">HEARING AID, DIGIT, BIN, ITC       </w:t>
            </w:r>
          </w:p>
        </w:tc>
      </w:tr>
      <w:tr w:rsidR="00B74267" w:rsidRPr="00F61C4D" w14:paraId="13BE078B" w14:textId="77777777" w:rsidTr="00805881">
        <w:trPr>
          <w:trHeight w:val="288"/>
        </w:trPr>
        <w:tc>
          <w:tcPr>
            <w:tcW w:w="2430" w:type="dxa"/>
            <w:shd w:val="clear" w:color="auto" w:fill="FFFFFF"/>
            <w:vAlign w:val="center"/>
          </w:tcPr>
          <w:p w14:paraId="48E16911" w14:textId="2EAB2DC3"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A889C7A" w14:textId="4B45973A" w:rsidR="00B74267" w:rsidRPr="00F61C4D" w:rsidRDefault="00B74267" w:rsidP="00805881">
            <w:pPr>
              <w:spacing w:before="0" w:after="0" w:line="240" w:lineRule="auto"/>
              <w:jc w:val="center"/>
              <w:rPr>
                <w:rFonts w:eastAsia="Calibri"/>
                <w:color w:val="111111"/>
              </w:rPr>
            </w:pPr>
            <w:r w:rsidRPr="00EC59B7">
              <w:t>V5260</w:t>
            </w:r>
          </w:p>
        </w:tc>
        <w:tc>
          <w:tcPr>
            <w:tcW w:w="7470" w:type="dxa"/>
            <w:shd w:val="clear" w:color="auto" w:fill="FFFFFF"/>
            <w:vAlign w:val="center"/>
          </w:tcPr>
          <w:p w14:paraId="35E7ABFE" w14:textId="4586C55F" w:rsidR="00B74267" w:rsidRPr="00F61C4D" w:rsidRDefault="00B74267" w:rsidP="00805881">
            <w:pPr>
              <w:spacing w:before="0" w:after="0" w:line="240" w:lineRule="auto"/>
              <w:jc w:val="left"/>
              <w:rPr>
                <w:rFonts w:eastAsia="Calibri"/>
                <w:color w:val="111111"/>
              </w:rPr>
            </w:pPr>
            <w:r w:rsidRPr="00EC59B7">
              <w:t xml:space="preserve">HEARING AID, DIGIT, BIN, ITE       </w:t>
            </w:r>
          </w:p>
        </w:tc>
      </w:tr>
      <w:tr w:rsidR="00B74267" w:rsidRPr="00F61C4D" w14:paraId="1312BFB4" w14:textId="77777777" w:rsidTr="00805881">
        <w:trPr>
          <w:trHeight w:val="288"/>
        </w:trPr>
        <w:tc>
          <w:tcPr>
            <w:tcW w:w="2430" w:type="dxa"/>
            <w:shd w:val="clear" w:color="auto" w:fill="FFFFFF"/>
            <w:vAlign w:val="center"/>
          </w:tcPr>
          <w:p w14:paraId="7C3411EB" w14:textId="0A48FB7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4A06DF0" w14:textId="12DDCD1E" w:rsidR="00B74267" w:rsidRPr="00F61C4D" w:rsidRDefault="00B74267" w:rsidP="00805881">
            <w:pPr>
              <w:spacing w:before="0" w:after="0" w:line="240" w:lineRule="auto"/>
              <w:jc w:val="center"/>
              <w:rPr>
                <w:rFonts w:eastAsia="Calibri"/>
                <w:color w:val="000000"/>
              </w:rPr>
            </w:pPr>
            <w:r w:rsidRPr="00EC59B7">
              <w:t>V5261</w:t>
            </w:r>
          </w:p>
        </w:tc>
        <w:tc>
          <w:tcPr>
            <w:tcW w:w="7470" w:type="dxa"/>
            <w:shd w:val="clear" w:color="auto" w:fill="FFFFFF"/>
            <w:vAlign w:val="center"/>
          </w:tcPr>
          <w:p w14:paraId="49A67CE8" w14:textId="01DACCD3" w:rsidR="00B74267" w:rsidRPr="00F61C4D" w:rsidRDefault="00B74267" w:rsidP="00805881">
            <w:pPr>
              <w:spacing w:before="0" w:after="0" w:line="240" w:lineRule="auto"/>
              <w:jc w:val="left"/>
              <w:rPr>
                <w:rFonts w:eastAsia="Calibri"/>
                <w:color w:val="000000"/>
              </w:rPr>
            </w:pPr>
            <w:r w:rsidRPr="00EC59B7">
              <w:t xml:space="preserve">HEARING AID, DIGIT, BIN, BTE       </w:t>
            </w:r>
          </w:p>
        </w:tc>
      </w:tr>
      <w:tr w:rsidR="00B74267" w:rsidRPr="00F61C4D" w14:paraId="6555F546" w14:textId="77777777" w:rsidTr="00805881">
        <w:trPr>
          <w:trHeight w:val="288"/>
        </w:trPr>
        <w:tc>
          <w:tcPr>
            <w:tcW w:w="2430" w:type="dxa"/>
            <w:shd w:val="clear" w:color="auto" w:fill="FFFFFF"/>
            <w:vAlign w:val="center"/>
          </w:tcPr>
          <w:p w14:paraId="515113B0" w14:textId="420DDF0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E6D22BA" w14:textId="71F72C4F" w:rsidR="00B74267" w:rsidRPr="00F61C4D" w:rsidRDefault="00B74267" w:rsidP="00805881">
            <w:pPr>
              <w:spacing w:before="0" w:after="0" w:line="240" w:lineRule="auto"/>
              <w:jc w:val="center"/>
              <w:rPr>
                <w:rFonts w:eastAsia="Calibri"/>
                <w:color w:val="000000"/>
              </w:rPr>
            </w:pPr>
            <w:r w:rsidRPr="00EC59B7">
              <w:t>V5262</w:t>
            </w:r>
          </w:p>
        </w:tc>
        <w:tc>
          <w:tcPr>
            <w:tcW w:w="7470" w:type="dxa"/>
            <w:shd w:val="clear" w:color="auto" w:fill="FFFFFF"/>
            <w:vAlign w:val="center"/>
          </w:tcPr>
          <w:p w14:paraId="2BDA009B" w14:textId="6C0E2A87" w:rsidR="00B74267" w:rsidRPr="00F61C4D" w:rsidRDefault="00B74267" w:rsidP="00805881">
            <w:pPr>
              <w:spacing w:before="0" w:after="0" w:line="240" w:lineRule="auto"/>
              <w:jc w:val="left"/>
              <w:rPr>
                <w:rFonts w:eastAsia="Calibri"/>
                <w:color w:val="000000"/>
              </w:rPr>
            </w:pPr>
            <w:r w:rsidRPr="00EC59B7">
              <w:t xml:space="preserve">HEARING AID, DISP, MONAURAL        </w:t>
            </w:r>
          </w:p>
        </w:tc>
      </w:tr>
      <w:tr w:rsidR="00B74267" w:rsidRPr="00F61C4D" w14:paraId="7A9B6FB1" w14:textId="77777777" w:rsidTr="00805881">
        <w:trPr>
          <w:trHeight w:val="288"/>
        </w:trPr>
        <w:tc>
          <w:tcPr>
            <w:tcW w:w="2430" w:type="dxa"/>
            <w:shd w:val="clear" w:color="auto" w:fill="FFFFFF"/>
            <w:vAlign w:val="center"/>
          </w:tcPr>
          <w:p w14:paraId="2DAF7CC3" w14:textId="0764C7B4"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05201C2" w14:textId="0A4D4FC6" w:rsidR="00B74267" w:rsidRPr="00F61C4D" w:rsidRDefault="00B74267" w:rsidP="00805881">
            <w:pPr>
              <w:spacing w:before="0" w:after="0" w:line="240" w:lineRule="auto"/>
              <w:jc w:val="center"/>
              <w:rPr>
                <w:rFonts w:eastAsia="Calibri"/>
                <w:color w:val="111111"/>
              </w:rPr>
            </w:pPr>
            <w:r w:rsidRPr="00EC59B7">
              <w:t>V5263</w:t>
            </w:r>
          </w:p>
        </w:tc>
        <w:tc>
          <w:tcPr>
            <w:tcW w:w="7470" w:type="dxa"/>
            <w:shd w:val="clear" w:color="auto" w:fill="FFFFFF"/>
            <w:vAlign w:val="center"/>
          </w:tcPr>
          <w:p w14:paraId="251A3CCE" w14:textId="5CE6455E" w:rsidR="00B74267" w:rsidRPr="00F61C4D" w:rsidRDefault="00B74267" w:rsidP="00805881">
            <w:pPr>
              <w:spacing w:before="0" w:after="0" w:line="240" w:lineRule="auto"/>
              <w:jc w:val="left"/>
              <w:rPr>
                <w:rFonts w:eastAsia="Calibri"/>
                <w:color w:val="000000"/>
              </w:rPr>
            </w:pPr>
            <w:r w:rsidRPr="00EC59B7">
              <w:t xml:space="preserve">HEARING AID, DISP, BINAURAL        </w:t>
            </w:r>
          </w:p>
        </w:tc>
      </w:tr>
      <w:tr w:rsidR="00B74267" w:rsidRPr="00F61C4D" w14:paraId="0C6E7F67" w14:textId="77777777" w:rsidTr="00805881">
        <w:trPr>
          <w:trHeight w:val="288"/>
        </w:trPr>
        <w:tc>
          <w:tcPr>
            <w:tcW w:w="2430" w:type="dxa"/>
            <w:shd w:val="clear" w:color="auto" w:fill="FFFFFF"/>
            <w:vAlign w:val="center"/>
          </w:tcPr>
          <w:p w14:paraId="3818D6BB" w14:textId="63409867"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BF2A079" w14:textId="318F1FB2" w:rsidR="00B74267" w:rsidRPr="00F61C4D" w:rsidRDefault="00B74267" w:rsidP="00805881">
            <w:pPr>
              <w:spacing w:before="0" w:after="0" w:line="240" w:lineRule="auto"/>
              <w:jc w:val="center"/>
              <w:rPr>
                <w:rFonts w:eastAsia="Calibri"/>
                <w:color w:val="000000"/>
              </w:rPr>
            </w:pPr>
            <w:r w:rsidRPr="00EC59B7">
              <w:t>V5264</w:t>
            </w:r>
          </w:p>
        </w:tc>
        <w:tc>
          <w:tcPr>
            <w:tcW w:w="7470" w:type="dxa"/>
            <w:shd w:val="clear" w:color="auto" w:fill="FFFFFF"/>
            <w:vAlign w:val="center"/>
          </w:tcPr>
          <w:p w14:paraId="160301F3" w14:textId="08B3C1C8" w:rsidR="00B74267" w:rsidRPr="00F61C4D" w:rsidRDefault="00B74267" w:rsidP="00805881">
            <w:pPr>
              <w:spacing w:before="0" w:after="0" w:line="240" w:lineRule="auto"/>
              <w:jc w:val="left"/>
              <w:rPr>
                <w:rFonts w:eastAsia="Calibri"/>
                <w:color w:val="000000"/>
              </w:rPr>
            </w:pPr>
            <w:r w:rsidRPr="00EC59B7">
              <w:t xml:space="preserve">EAR MOLD/INSERT                    </w:t>
            </w:r>
          </w:p>
        </w:tc>
      </w:tr>
      <w:tr w:rsidR="00B74267" w:rsidRPr="00F61C4D" w14:paraId="257E5625" w14:textId="77777777" w:rsidTr="00805881">
        <w:trPr>
          <w:trHeight w:val="288"/>
        </w:trPr>
        <w:tc>
          <w:tcPr>
            <w:tcW w:w="2430" w:type="dxa"/>
            <w:shd w:val="clear" w:color="auto" w:fill="FFFFFF"/>
            <w:vAlign w:val="center"/>
          </w:tcPr>
          <w:p w14:paraId="061A47C5" w14:textId="5B66103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94010A1" w14:textId="4ADD4986" w:rsidR="00B74267" w:rsidRPr="00F61C4D" w:rsidRDefault="00B74267" w:rsidP="00805881">
            <w:pPr>
              <w:spacing w:before="0" w:after="0" w:line="240" w:lineRule="auto"/>
              <w:jc w:val="center"/>
              <w:rPr>
                <w:rFonts w:eastAsia="Calibri"/>
                <w:color w:val="000000"/>
              </w:rPr>
            </w:pPr>
            <w:r w:rsidRPr="00EC59B7">
              <w:t>V5265</w:t>
            </w:r>
          </w:p>
        </w:tc>
        <w:tc>
          <w:tcPr>
            <w:tcW w:w="7470" w:type="dxa"/>
            <w:shd w:val="clear" w:color="auto" w:fill="FFFFFF"/>
            <w:vAlign w:val="center"/>
          </w:tcPr>
          <w:p w14:paraId="69CAD5F0" w14:textId="75D814F4" w:rsidR="00B74267" w:rsidRPr="00F61C4D" w:rsidRDefault="00B74267" w:rsidP="00805881">
            <w:pPr>
              <w:spacing w:before="0" w:after="0" w:line="240" w:lineRule="auto"/>
              <w:jc w:val="left"/>
              <w:rPr>
                <w:rFonts w:eastAsia="Calibri"/>
                <w:color w:val="000000"/>
              </w:rPr>
            </w:pPr>
            <w:r w:rsidRPr="00EC59B7">
              <w:t xml:space="preserve">EAR MOLD/INSERT, DISP              </w:t>
            </w:r>
          </w:p>
        </w:tc>
      </w:tr>
      <w:tr w:rsidR="00B74267" w:rsidRPr="00F61C4D" w14:paraId="69B45723" w14:textId="77777777" w:rsidTr="00805881">
        <w:trPr>
          <w:trHeight w:val="288"/>
        </w:trPr>
        <w:tc>
          <w:tcPr>
            <w:tcW w:w="2430" w:type="dxa"/>
            <w:shd w:val="clear" w:color="auto" w:fill="FFFFFF"/>
            <w:vAlign w:val="center"/>
          </w:tcPr>
          <w:p w14:paraId="7ABB89E0" w14:textId="4E9E8F60"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7A55EAC" w14:textId="7879A2FF" w:rsidR="00B74267" w:rsidRPr="00F61C4D" w:rsidRDefault="00B74267" w:rsidP="00805881">
            <w:pPr>
              <w:spacing w:before="0" w:after="0" w:line="240" w:lineRule="auto"/>
              <w:jc w:val="center"/>
              <w:rPr>
                <w:rFonts w:eastAsia="Calibri"/>
                <w:color w:val="000000"/>
              </w:rPr>
            </w:pPr>
            <w:r w:rsidRPr="00EC59B7">
              <w:t>V5266</w:t>
            </w:r>
          </w:p>
        </w:tc>
        <w:tc>
          <w:tcPr>
            <w:tcW w:w="7470" w:type="dxa"/>
            <w:shd w:val="clear" w:color="auto" w:fill="FFFFFF"/>
            <w:vAlign w:val="center"/>
          </w:tcPr>
          <w:p w14:paraId="6E2DAF8B" w14:textId="57D1E644" w:rsidR="00B74267" w:rsidRPr="00F61C4D" w:rsidRDefault="00B74267" w:rsidP="00805881">
            <w:pPr>
              <w:spacing w:before="0" w:after="0" w:line="240" w:lineRule="auto"/>
              <w:jc w:val="left"/>
              <w:rPr>
                <w:rFonts w:eastAsia="Calibri"/>
                <w:color w:val="000000"/>
              </w:rPr>
            </w:pPr>
            <w:r w:rsidRPr="00EC59B7">
              <w:t xml:space="preserve">BATTERY FOR HEARING DEVICE         </w:t>
            </w:r>
          </w:p>
        </w:tc>
      </w:tr>
      <w:tr w:rsidR="00B74267" w:rsidRPr="00F61C4D" w14:paraId="67F4B0B1" w14:textId="77777777" w:rsidTr="00805881">
        <w:trPr>
          <w:trHeight w:val="288"/>
        </w:trPr>
        <w:tc>
          <w:tcPr>
            <w:tcW w:w="2430" w:type="dxa"/>
            <w:shd w:val="clear" w:color="auto" w:fill="FFFFFF"/>
            <w:vAlign w:val="center"/>
          </w:tcPr>
          <w:p w14:paraId="467FCC6E" w14:textId="6560BE18"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FD27553" w14:textId="2A42809A" w:rsidR="00B74267" w:rsidRPr="00F61C4D" w:rsidRDefault="00B74267" w:rsidP="00805881">
            <w:pPr>
              <w:spacing w:before="0" w:after="0" w:line="240" w:lineRule="auto"/>
              <w:jc w:val="center"/>
              <w:rPr>
                <w:rFonts w:eastAsia="Calibri"/>
                <w:color w:val="111111"/>
              </w:rPr>
            </w:pPr>
            <w:r w:rsidRPr="00EC59B7">
              <w:t>V5267</w:t>
            </w:r>
          </w:p>
        </w:tc>
        <w:tc>
          <w:tcPr>
            <w:tcW w:w="7470" w:type="dxa"/>
            <w:shd w:val="clear" w:color="auto" w:fill="FFFFFF"/>
            <w:vAlign w:val="center"/>
          </w:tcPr>
          <w:p w14:paraId="37EBB111" w14:textId="1259127D" w:rsidR="00B74267" w:rsidRPr="00F61C4D" w:rsidRDefault="00B74267" w:rsidP="00805881">
            <w:pPr>
              <w:spacing w:before="0" w:after="0" w:line="240" w:lineRule="auto"/>
              <w:jc w:val="left"/>
              <w:rPr>
                <w:rFonts w:eastAsia="Calibri"/>
                <w:color w:val="000000"/>
              </w:rPr>
            </w:pPr>
            <w:r w:rsidRPr="00EC59B7">
              <w:t xml:space="preserve">HEARING AID SUP/ACCESS/DEV         </w:t>
            </w:r>
          </w:p>
        </w:tc>
      </w:tr>
      <w:tr w:rsidR="00B74267" w:rsidRPr="00F61C4D" w14:paraId="6826FC86" w14:textId="77777777" w:rsidTr="00805881">
        <w:trPr>
          <w:trHeight w:val="288"/>
        </w:trPr>
        <w:tc>
          <w:tcPr>
            <w:tcW w:w="2430" w:type="dxa"/>
            <w:shd w:val="clear" w:color="auto" w:fill="FFFFFF"/>
            <w:vAlign w:val="center"/>
          </w:tcPr>
          <w:p w14:paraId="312B5623" w14:textId="39D61AB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6943C67" w14:textId="75316E72" w:rsidR="00B74267" w:rsidRPr="00F61C4D" w:rsidRDefault="00B74267" w:rsidP="00805881">
            <w:pPr>
              <w:spacing w:before="0" w:after="0" w:line="240" w:lineRule="auto"/>
              <w:jc w:val="center"/>
              <w:rPr>
                <w:rFonts w:eastAsia="Calibri"/>
                <w:color w:val="000000"/>
              </w:rPr>
            </w:pPr>
            <w:r w:rsidRPr="00EC59B7">
              <w:t>V5268</w:t>
            </w:r>
          </w:p>
        </w:tc>
        <w:tc>
          <w:tcPr>
            <w:tcW w:w="7470" w:type="dxa"/>
            <w:shd w:val="clear" w:color="auto" w:fill="FFFFFF"/>
            <w:vAlign w:val="center"/>
          </w:tcPr>
          <w:p w14:paraId="5FDE2464" w14:textId="7F6C4732" w:rsidR="00B74267" w:rsidRPr="00F61C4D" w:rsidRDefault="00B74267" w:rsidP="00805881">
            <w:pPr>
              <w:spacing w:before="0" w:after="0" w:line="240" w:lineRule="auto"/>
              <w:jc w:val="left"/>
              <w:rPr>
                <w:rFonts w:eastAsia="Calibri"/>
                <w:color w:val="000000"/>
              </w:rPr>
            </w:pPr>
            <w:r w:rsidRPr="00EC59B7">
              <w:t xml:space="preserve">ALD TELEPHONE AMPLIFIER            </w:t>
            </w:r>
          </w:p>
        </w:tc>
      </w:tr>
      <w:tr w:rsidR="00B74267" w:rsidRPr="00F61C4D" w14:paraId="0B1EE649" w14:textId="77777777" w:rsidTr="00805881">
        <w:trPr>
          <w:trHeight w:val="288"/>
        </w:trPr>
        <w:tc>
          <w:tcPr>
            <w:tcW w:w="2430" w:type="dxa"/>
            <w:shd w:val="clear" w:color="auto" w:fill="FFFFFF"/>
            <w:vAlign w:val="center"/>
          </w:tcPr>
          <w:p w14:paraId="3AB2859C" w14:textId="6FE6616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DBC7ED8" w14:textId="5B5B2A24" w:rsidR="00B74267" w:rsidRPr="00F61C4D" w:rsidRDefault="00B74267" w:rsidP="00805881">
            <w:pPr>
              <w:spacing w:before="0" w:after="0" w:line="240" w:lineRule="auto"/>
              <w:jc w:val="center"/>
              <w:rPr>
                <w:rFonts w:eastAsia="Calibri"/>
                <w:color w:val="111111"/>
              </w:rPr>
            </w:pPr>
            <w:r w:rsidRPr="00EC59B7">
              <w:t>V5269</w:t>
            </w:r>
          </w:p>
        </w:tc>
        <w:tc>
          <w:tcPr>
            <w:tcW w:w="7470" w:type="dxa"/>
            <w:shd w:val="clear" w:color="auto" w:fill="FFFFFF"/>
            <w:vAlign w:val="center"/>
          </w:tcPr>
          <w:p w14:paraId="735B281D" w14:textId="065AF4DF" w:rsidR="00B74267" w:rsidRPr="00F61C4D" w:rsidRDefault="00B74267" w:rsidP="00805881">
            <w:pPr>
              <w:spacing w:before="0" w:after="0" w:line="240" w:lineRule="auto"/>
              <w:jc w:val="left"/>
              <w:rPr>
                <w:rFonts w:eastAsia="Calibri"/>
                <w:color w:val="000000"/>
              </w:rPr>
            </w:pPr>
            <w:r w:rsidRPr="00EC59B7">
              <w:t xml:space="preserve">ALERTING DEVICE, ANY TYPE          </w:t>
            </w:r>
          </w:p>
        </w:tc>
      </w:tr>
      <w:tr w:rsidR="00B74267" w:rsidRPr="00F61C4D" w14:paraId="3CE06582" w14:textId="77777777" w:rsidTr="00805881">
        <w:trPr>
          <w:trHeight w:val="288"/>
        </w:trPr>
        <w:tc>
          <w:tcPr>
            <w:tcW w:w="2430" w:type="dxa"/>
            <w:shd w:val="clear" w:color="auto" w:fill="FFFFFF"/>
            <w:vAlign w:val="center"/>
          </w:tcPr>
          <w:p w14:paraId="3B753AD6" w14:textId="043537D3"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1B5F060D" w14:textId="3086A7F8" w:rsidR="00B74267" w:rsidRPr="00F61C4D" w:rsidRDefault="00B74267" w:rsidP="00805881">
            <w:pPr>
              <w:spacing w:before="0" w:after="0" w:line="240" w:lineRule="auto"/>
              <w:jc w:val="center"/>
              <w:rPr>
                <w:rFonts w:eastAsia="Calibri"/>
                <w:color w:val="000000"/>
              </w:rPr>
            </w:pPr>
            <w:r w:rsidRPr="00EC59B7">
              <w:t>V5270</w:t>
            </w:r>
          </w:p>
        </w:tc>
        <w:tc>
          <w:tcPr>
            <w:tcW w:w="7470" w:type="dxa"/>
            <w:shd w:val="clear" w:color="auto" w:fill="FFFFFF"/>
            <w:vAlign w:val="center"/>
          </w:tcPr>
          <w:p w14:paraId="2777E030" w14:textId="03ACA5B1" w:rsidR="00B74267" w:rsidRPr="00F61C4D" w:rsidRDefault="00B74267" w:rsidP="00805881">
            <w:pPr>
              <w:spacing w:before="0" w:after="0" w:line="240" w:lineRule="auto"/>
              <w:jc w:val="left"/>
              <w:rPr>
                <w:rFonts w:eastAsia="Calibri"/>
                <w:color w:val="000000"/>
              </w:rPr>
            </w:pPr>
            <w:r w:rsidRPr="00EC59B7">
              <w:t xml:space="preserve">ALD, TV AMPLIFIER, ANY TYPE        </w:t>
            </w:r>
          </w:p>
        </w:tc>
      </w:tr>
      <w:tr w:rsidR="00B74267" w:rsidRPr="00F61C4D" w14:paraId="54B4AD40" w14:textId="77777777" w:rsidTr="00805881">
        <w:trPr>
          <w:trHeight w:val="288"/>
        </w:trPr>
        <w:tc>
          <w:tcPr>
            <w:tcW w:w="2430" w:type="dxa"/>
            <w:shd w:val="clear" w:color="auto" w:fill="auto"/>
            <w:vAlign w:val="center"/>
          </w:tcPr>
          <w:p w14:paraId="07A2FE6D" w14:textId="3DEE6996"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1307590B" w14:textId="3016C3D0" w:rsidR="00B74267" w:rsidRPr="00F61C4D" w:rsidRDefault="00B74267" w:rsidP="00805881">
            <w:pPr>
              <w:spacing w:before="0" w:after="0" w:line="240" w:lineRule="auto"/>
              <w:jc w:val="center"/>
              <w:rPr>
                <w:rFonts w:eastAsia="Calibri"/>
                <w:color w:val="000000"/>
              </w:rPr>
            </w:pPr>
            <w:r w:rsidRPr="00EC59B7">
              <w:t>V5271</w:t>
            </w:r>
          </w:p>
        </w:tc>
        <w:tc>
          <w:tcPr>
            <w:tcW w:w="7470" w:type="dxa"/>
            <w:shd w:val="clear" w:color="auto" w:fill="auto"/>
            <w:vAlign w:val="center"/>
          </w:tcPr>
          <w:p w14:paraId="1BEFAC60" w14:textId="0B1961DC" w:rsidR="00B74267" w:rsidRPr="00F61C4D" w:rsidRDefault="00B74267" w:rsidP="00805881">
            <w:pPr>
              <w:spacing w:before="0" w:after="0" w:line="240" w:lineRule="auto"/>
              <w:jc w:val="left"/>
              <w:rPr>
                <w:rFonts w:eastAsia="Calibri"/>
                <w:color w:val="000000"/>
              </w:rPr>
            </w:pPr>
            <w:r w:rsidRPr="00EC59B7">
              <w:t xml:space="preserve">ALD, TV CAPTION DECODER            </w:t>
            </w:r>
          </w:p>
        </w:tc>
      </w:tr>
      <w:tr w:rsidR="00B74267" w:rsidRPr="00F61C4D" w14:paraId="227005A5" w14:textId="77777777" w:rsidTr="00805881">
        <w:trPr>
          <w:trHeight w:val="288"/>
        </w:trPr>
        <w:tc>
          <w:tcPr>
            <w:tcW w:w="2430" w:type="dxa"/>
            <w:shd w:val="clear" w:color="auto" w:fill="FFFFFF"/>
            <w:vAlign w:val="center"/>
          </w:tcPr>
          <w:p w14:paraId="326749F1" w14:textId="1396EEA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F8C6649" w14:textId="4F5DA2F0" w:rsidR="00B74267" w:rsidRPr="00F61C4D" w:rsidRDefault="00B74267" w:rsidP="00805881">
            <w:pPr>
              <w:spacing w:before="0" w:after="0" w:line="240" w:lineRule="auto"/>
              <w:jc w:val="center"/>
              <w:rPr>
                <w:rFonts w:eastAsia="Calibri"/>
                <w:color w:val="111111"/>
              </w:rPr>
            </w:pPr>
            <w:r w:rsidRPr="00EC59B7">
              <w:t>V5272</w:t>
            </w:r>
          </w:p>
        </w:tc>
        <w:tc>
          <w:tcPr>
            <w:tcW w:w="7470" w:type="dxa"/>
            <w:shd w:val="clear" w:color="auto" w:fill="FFFFFF"/>
            <w:vAlign w:val="center"/>
          </w:tcPr>
          <w:p w14:paraId="083CE028" w14:textId="0A60F80C" w:rsidR="00B74267" w:rsidRPr="00F61C4D" w:rsidRDefault="00B74267" w:rsidP="00805881">
            <w:pPr>
              <w:spacing w:before="0" w:after="0" w:line="240" w:lineRule="auto"/>
              <w:jc w:val="left"/>
              <w:rPr>
                <w:rFonts w:eastAsia="Calibri"/>
                <w:color w:val="111111"/>
              </w:rPr>
            </w:pPr>
            <w:r w:rsidRPr="00EC59B7">
              <w:t xml:space="preserve">TDD                                </w:t>
            </w:r>
          </w:p>
        </w:tc>
      </w:tr>
      <w:tr w:rsidR="00B74267" w:rsidRPr="00F61C4D" w14:paraId="00A70074" w14:textId="77777777" w:rsidTr="00805881">
        <w:trPr>
          <w:trHeight w:val="288"/>
        </w:trPr>
        <w:tc>
          <w:tcPr>
            <w:tcW w:w="2430" w:type="dxa"/>
            <w:shd w:val="clear" w:color="auto" w:fill="FFFFFF"/>
            <w:vAlign w:val="center"/>
          </w:tcPr>
          <w:p w14:paraId="3E955DBD" w14:textId="59BF92D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339EA7D" w14:textId="0A8FE2BF" w:rsidR="00B74267" w:rsidRPr="00F61C4D" w:rsidRDefault="00B74267" w:rsidP="00805881">
            <w:pPr>
              <w:spacing w:before="0" w:after="0" w:line="240" w:lineRule="auto"/>
              <w:jc w:val="center"/>
              <w:rPr>
                <w:rFonts w:eastAsia="Calibri"/>
                <w:color w:val="000000"/>
              </w:rPr>
            </w:pPr>
            <w:r w:rsidRPr="00EC59B7">
              <w:t>V5273</w:t>
            </w:r>
          </w:p>
        </w:tc>
        <w:tc>
          <w:tcPr>
            <w:tcW w:w="7470" w:type="dxa"/>
            <w:shd w:val="clear" w:color="auto" w:fill="FFFFFF"/>
            <w:vAlign w:val="center"/>
          </w:tcPr>
          <w:p w14:paraId="5FE5742E" w14:textId="3EF862E8" w:rsidR="00B74267" w:rsidRPr="00F61C4D" w:rsidRDefault="00B74267" w:rsidP="00805881">
            <w:pPr>
              <w:spacing w:before="0" w:after="0" w:line="240" w:lineRule="auto"/>
              <w:jc w:val="left"/>
              <w:rPr>
                <w:rFonts w:eastAsia="Calibri"/>
                <w:color w:val="000000"/>
              </w:rPr>
            </w:pPr>
            <w:r w:rsidRPr="00EC59B7">
              <w:t xml:space="preserve">ALD FOR COCHLEAR IMPLANT           </w:t>
            </w:r>
          </w:p>
        </w:tc>
      </w:tr>
      <w:tr w:rsidR="00B74267" w:rsidRPr="00F61C4D" w14:paraId="68C71566" w14:textId="77777777" w:rsidTr="00805881">
        <w:trPr>
          <w:trHeight w:val="288"/>
        </w:trPr>
        <w:tc>
          <w:tcPr>
            <w:tcW w:w="2430" w:type="dxa"/>
            <w:shd w:val="clear" w:color="auto" w:fill="FFFFFF"/>
            <w:vAlign w:val="center"/>
          </w:tcPr>
          <w:p w14:paraId="21C9104C" w14:textId="7922F21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9830941" w14:textId="70515520" w:rsidR="00B74267" w:rsidRPr="00F61C4D" w:rsidRDefault="00B74267" w:rsidP="00805881">
            <w:pPr>
              <w:spacing w:before="0" w:after="0" w:line="240" w:lineRule="auto"/>
              <w:jc w:val="center"/>
              <w:rPr>
                <w:rFonts w:eastAsia="Calibri"/>
                <w:color w:val="000000"/>
              </w:rPr>
            </w:pPr>
            <w:r w:rsidRPr="00EC59B7">
              <w:t>V5274</w:t>
            </w:r>
          </w:p>
        </w:tc>
        <w:tc>
          <w:tcPr>
            <w:tcW w:w="7470" w:type="dxa"/>
            <w:shd w:val="clear" w:color="auto" w:fill="FFFFFF"/>
            <w:vAlign w:val="center"/>
          </w:tcPr>
          <w:p w14:paraId="7306D931" w14:textId="3A23010B" w:rsidR="00B74267" w:rsidRPr="00F61C4D" w:rsidRDefault="00B74267" w:rsidP="00805881">
            <w:pPr>
              <w:spacing w:before="0" w:after="0" w:line="240" w:lineRule="auto"/>
              <w:jc w:val="left"/>
              <w:rPr>
                <w:rFonts w:eastAsia="Calibri"/>
                <w:color w:val="000000"/>
              </w:rPr>
            </w:pPr>
            <w:r w:rsidRPr="00EC59B7">
              <w:t xml:space="preserve">ALD UNSPECIFIED                    </w:t>
            </w:r>
          </w:p>
        </w:tc>
      </w:tr>
      <w:tr w:rsidR="00B74267" w:rsidRPr="00F61C4D" w14:paraId="5EC27247" w14:textId="77777777" w:rsidTr="00805881">
        <w:trPr>
          <w:trHeight w:val="288"/>
        </w:trPr>
        <w:tc>
          <w:tcPr>
            <w:tcW w:w="2430" w:type="dxa"/>
            <w:shd w:val="clear" w:color="auto" w:fill="FFFFFF"/>
            <w:vAlign w:val="center"/>
          </w:tcPr>
          <w:p w14:paraId="388CD9C6" w14:textId="5205551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E8B541A" w14:textId="3199B29A" w:rsidR="00B74267" w:rsidRPr="00F61C4D" w:rsidRDefault="00B74267" w:rsidP="00805881">
            <w:pPr>
              <w:spacing w:before="0" w:after="0" w:line="240" w:lineRule="auto"/>
              <w:jc w:val="center"/>
              <w:rPr>
                <w:rFonts w:eastAsia="Calibri"/>
                <w:color w:val="111111"/>
              </w:rPr>
            </w:pPr>
            <w:r w:rsidRPr="00EC59B7">
              <w:t>V5275</w:t>
            </w:r>
          </w:p>
        </w:tc>
        <w:tc>
          <w:tcPr>
            <w:tcW w:w="7470" w:type="dxa"/>
            <w:shd w:val="clear" w:color="auto" w:fill="FFFFFF"/>
            <w:vAlign w:val="center"/>
          </w:tcPr>
          <w:p w14:paraId="122634C0" w14:textId="015DAFA6" w:rsidR="00B74267" w:rsidRPr="00F61C4D" w:rsidRDefault="00B74267" w:rsidP="00805881">
            <w:pPr>
              <w:spacing w:before="0" w:after="0" w:line="240" w:lineRule="auto"/>
              <w:jc w:val="left"/>
              <w:rPr>
                <w:rFonts w:eastAsia="Calibri"/>
                <w:color w:val="000000"/>
              </w:rPr>
            </w:pPr>
            <w:r w:rsidRPr="00EC59B7">
              <w:t xml:space="preserve">EAR IMPRESSION                     </w:t>
            </w:r>
          </w:p>
        </w:tc>
      </w:tr>
      <w:tr w:rsidR="00B74267" w:rsidRPr="00F61C4D" w14:paraId="2B5127D0" w14:textId="77777777" w:rsidTr="00805881">
        <w:trPr>
          <w:trHeight w:val="288"/>
        </w:trPr>
        <w:tc>
          <w:tcPr>
            <w:tcW w:w="2430" w:type="dxa"/>
            <w:shd w:val="clear" w:color="auto" w:fill="FFFFFF"/>
            <w:vAlign w:val="center"/>
          </w:tcPr>
          <w:p w14:paraId="64A70766" w14:textId="588A2228"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6D3CCB0" w14:textId="1D2B9348" w:rsidR="00B74267" w:rsidRPr="00F61C4D" w:rsidRDefault="00B74267" w:rsidP="00805881">
            <w:pPr>
              <w:spacing w:before="0" w:after="0" w:line="240" w:lineRule="auto"/>
              <w:jc w:val="center"/>
              <w:rPr>
                <w:rFonts w:eastAsia="Calibri"/>
                <w:color w:val="000000"/>
              </w:rPr>
            </w:pPr>
            <w:r w:rsidRPr="00EC59B7">
              <w:t>V5281</w:t>
            </w:r>
          </w:p>
        </w:tc>
        <w:tc>
          <w:tcPr>
            <w:tcW w:w="7470" w:type="dxa"/>
            <w:shd w:val="clear" w:color="auto" w:fill="FFFFFF"/>
            <w:vAlign w:val="center"/>
          </w:tcPr>
          <w:p w14:paraId="366066B6" w14:textId="318B2EE9" w:rsidR="00B74267" w:rsidRPr="00F61C4D" w:rsidRDefault="00B74267" w:rsidP="00805881">
            <w:pPr>
              <w:spacing w:before="0" w:after="0" w:line="240" w:lineRule="auto"/>
              <w:jc w:val="left"/>
              <w:rPr>
                <w:rFonts w:eastAsia="Calibri"/>
                <w:color w:val="000000"/>
              </w:rPr>
            </w:pPr>
            <w:r w:rsidRPr="00EC59B7">
              <w:t xml:space="preserve">ALD FM/DM SYSTEM, MONAURAL         </w:t>
            </w:r>
          </w:p>
        </w:tc>
      </w:tr>
      <w:tr w:rsidR="00B74267" w:rsidRPr="00F61C4D" w14:paraId="38B36A76" w14:textId="77777777" w:rsidTr="00805881">
        <w:trPr>
          <w:trHeight w:val="288"/>
        </w:trPr>
        <w:tc>
          <w:tcPr>
            <w:tcW w:w="2430" w:type="dxa"/>
            <w:shd w:val="clear" w:color="auto" w:fill="FFFFFF"/>
            <w:vAlign w:val="center"/>
          </w:tcPr>
          <w:p w14:paraId="63712C47" w14:textId="084B0134"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7BC9835" w14:textId="1BA5708F" w:rsidR="00B74267" w:rsidRPr="00F61C4D" w:rsidRDefault="00B74267" w:rsidP="00805881">
            <w:pPr>
              <w:spacing w:before="0" w:after="0" w:line="240" w:lineRule="auto"/>
              <w:jc w:val="center"/>
              <w:rPr>
                <w:rFonts w:eastAsia="Calibri"/>
                <w:color w:val="000000"/>
              </w:rPr>
            </w:pPr>
            <w:r w:rsidRPr="00EC59B7">
              <w:t>V5282</w:t>
            </w:r>
          </w:p>
        </w:tc>
        <w:tc>
          <w:tcPr>
            <w:tcW w:w="7470" w:type="dxa"/>
            <w:shd w:val="clear" w:color="auto" w:fill="FFFFFF"/>
            <w:vAlign w:val="center"/>
          </w:tcPr>
          <w:p w14:paraId="6927D8C2" w14:textId="72179C15" w:rsidR="00B74267" w:rsidRPr="00F61C4D" w:rsidRDefault="00B74267" w:rsidP="00805881">
            <w:pPr>
              <w:spacing w:before="0" w:after="0" w:line="240" w:lineRule="auto"/>
              <w:jc w:val="left"/>
              <w:rPr>
                <w:rFonts w:eastAsia="Calibri"/>
                <w:color w:val="000000"/>
              </w:rPr>
            </w:pPr>
            <w:r w:rsidRPr="00EC59B7">
              <w:t xml:space="preserve">ALD FM/DM SYSTEM BINAURAL          </w:t>
            </w:r>
          </w:p>
        </w:tc>
      </w:tr>
      <w:tr w:rsidR="00B74267" w:rsidRPr="00F61C4D" w14:paraId="024AC817" w14:textId="77777777" w:rsidTr="00805881">
        <w:trPr>
          <w:trHeight w:val="288"/>
        </w:trPr>
        <w:tc>
          <w:tcPr>
            <w:tcW w:w="2430" w:type="dxa"/>
            <w:shd w:val="clear" w:color="auto" w:fill="FFFFFF"/>
            <w:vAlign w:val="center"/>
          </w:tcPr>
          <w:p w14:paraId="5607FE7E" w14:textId="3BAB10A6"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BBB0882" w14:textId="2271C26C" w:rsidR="00B74267" w:rsidRPr="00F61C4D" w:rsidRDefault="00B74267" w:rsidP="00805881">
            <w:pPr>
              <w:spacing w:before="0" w:after="0" w:line="240" w:lineRule="auto"/>
              <w:jc w:val="center"/>
              <w:rPr>
                <w:rFonts w:eastAsia="Calibri"/>
                <w:color w:val="000000"/>
              </w:rPr>
            </w:pPr>
            <w:r w:rsidRPr="00EC59B7">
              <w:t>V5283</w:t>
            </w:r>
          </w:p>
        </w:tc>
        <w:tc>
          <w:tcPr>
            <w:tcW w:w="7470" w:type="dxa"/>
            <w:shd w:val="clear" w:color="auto" w:fill="FFFFFF"/>
            <w:vAlign w:val="center"/>
          </w:tcPr>
          <w:p w14:paraId="214229D0" w14:textId="058C4EF9" w:rsidR="00B74267" w:rsidRPr="00F61C4D" w:rsidRDefault="00B74267" w:rsidP="00805881">
            <w:pPr>
              <w:spacing w:before="0" w:after="0" w:line="240" w:lineRule="auto"/>
              <w:jc w:val="left"/>
              <w:rPr>
                <w:rFonts w:eastAsia="Calibri"/>
                <w:color w:val="000000"/>
              </w:rPr>
            </w:pPr>
            <w:r w:rsidRPr="00EC59B7">
              <w:t xml:space="preserve">ALD NECK, LOOP IND RECEIVER        </w:t>
            </w:r>
          </w:p>
        </w:tc>
      </w:tr>
      <w:tr w:rsidR="00B74267" w:rsidRPr="00F61C4D" w14:paraId="73DDEB1B" w14:textId="77777777" w:rsidTr="00805881">
        <w:trPr>
          <w:trHeight w:val="288"/>
        </w:trPr>
        <w:tc>
          <w:tcPr>
            <w:tcW w:w="2430" w:type="dxa"/>
            <w:shd w:val="clear" w:color="auto" w:fill="FFFFFF"/>
            <w:vAlign w:val="center"/>
          </w:tcPr>
          <w:p w14:paraId="09EABE53" w14:textId="09C9B74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D9430D4" w14:textId="30AF62DD" w:rsidR="00B74267" w:rsidRPr="00F61C4D" w:rsidRDefault="00B74267" w:rsidP="00805881">
            <w:pPr>
              <w:spacing w:before="0" w:after="0" w:line="240" w:lineRule="auto"/>
              <w:jc w:val="center"/>
              <w:rPr>
                <w:rFonts w:eastAsia="Calibri"/>
                <w:color w:val="111111"/>
              </w:rPr>
            </w:pPr>
            <w:r w:rsidRPr="00EC59B7">
              <w:t>V5284</w:t>
            </w:r>
          </w:p>
        </w:tc>
        <w:tc>
          <w:tcPr>
            <w:tcW w:w="7470" w:type="dxa"/>
            <w:shd w:val="clear" w:color="auto" w:fill="FFFFFF"/>
            <w:vAlign w:val="center"/>
          </w:tcPr>
          <w:p w14:paraId="0921E1BE" w14:textId="1FB6F1E7" w:rsidR="00B74267" w:rsidRPr="00F61C4D" w:rsidRDefault="00B74267" w:rsidP="00805881">
            <w:pPr>
              <w:spacing w:before="0" w:after="0" w:line="240" w:lineRule="auto"/>
              <w:jc w:val="left"/>
              <w:rPr>
                <w:rFonts w:eastAsia="Calibri"/>
                <w:color w:val="000000"/>
              </w:rPr>
            </w:pPr>
            <w:r w:rsidRPr="00EC59B7">
              <w:t xml:space="preserve">ALD FM/DM EAR LEVEL RECEIVER       </w:t>
            </w:r>
          </w:p>
        </w:tc>
      </w:tr>
      <w:tr w:rsidR="00B74267" w:rsidRPr="00F61C4D" w14:paraId="3717BB94" w14:textId="77777777" w:rsidTr="00805881">
        <w:trPr>
          <w:trHeight w:val="288"/>
        </w:trPr>
        <w:tc>
          <w:tcPr>
            <w:tcW w:w="2430" w:type="dxa"/>
            <w:shd w:val="clear" w:color="auto" w:fill="FFFFFF"/>
            <w:vAlign w:val="center"/>
          </w:tcPr>
          <w:p w14:paraId="23917265" w14:textId="4B776599"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1DDE4710" w14:textId="08E14E4E" w:rsidR="00B74267" w:rsidRPr="00F61C4D" w:rsidRDefault="00B74267" w:rsidP="00805881">
            <w:pPr>
              <w:spacing w:before="0" w:after="0" w:line="240" w:lineRule="auto"/>
              <w:jc w:val="center"/>
              <w:rPr>
                <w:rFonts w:eastAsia="Calibri"/>
                <w:color w:val="000000"/>
              </w:rPr>
            </w:pPr>
            <w:r w:rsidRPr="00EC59B7">
              <w:t>V5285</w:t>
            </w:r>
          </w:p>
        </w:tc>
        <w:tc>
          <w:tcPr>
            <w:tcW w:w="7470" w:type="dxa"/>
            <w:shd w:val="clear" w:color="auto" w:fill="FFFFFF"/>
            <w:vAlign w:val="center"/>
          </w:tcPr>
          <w:p w14:paraId="7358F764" w14:textId="143EA657" w:rsidR="00B74267" w:rsidRPr="00F61C4D" w:rsidRDefault="00B74267" w:rsidP="00805881">
            <w:pPr>
              <w:spacing w:before="0" w:after="0" w:line="240" w:lineRule="auto"/>
              <w:jc w:val="left"/>
              <w:rPr>
                <w:rFonts w:eastAsia="Calibri"/>
                <w:color w:val="000000"/>
              </w:rPr>
            </w:pPr>
            <w:r w:rsidRPr="00EC59B7">
              <w:t xml:space="preserve">ALD FM/DM AUD INPUT RECEIVER       </w:t>
            </w:r>
          </w:p>
        </w:tc>
      </w:tr>
      <w:tr w:rsidR="00B74267" w:rsidRPr="00F61C4D" w14:paraId="03C29AF0" w14:textId="77777777" w:rsidTr="00805881">
        <w:trPr>
          <w:trHeight w:val="288"/>
        </w:trPr>
        <w:tc>
          <w:tcPr>
            <w:tcW w:w="2430" w:type="dxa"/>
            <w:shd w:val="clear" w:color="auto" w:fill="FFFFFF"/>
            <w:vAlign w:val="center"/>
          </w:tcPr>
          <w:p w14:paraId="2483E72C" w14:textId="45D12F51"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348449E" w14:textId="7BBDC5F5" w:rsidR="00B74267" w:rsidRPr="00F61C4D" w:rsidRDefault="00B74267" w:rsidP="00805881">
            <w:pPr>
              <w:spacing w:before="0" w:after="0" w:line="240" w:lineRule="auto"/>
              <w:jc w:val="center"/>
              <w:rPr>
                <w:rFonts w:eastAsia="Calibri"/>
                <w:color w:val="111111"/>
              </w:rPr>
            </w:pPr>
            <w:r w:rsidRPr="00EC59B7">
              <w:t>V5286</w:t>
            </w:r>
          </w:p>
        </w:tc>
        <w:tc>
          <w:tcPr>
            <w:tcW w:w="7470" w:type="dxa"/>
            <w:shd w:val="clear" w:color="auto" w:fill="FFFFFF"/>
            <w:vAlign w:val="center"/>
          </w:tcPr>
          <w:p w14:paraId="367D6619" w14:textId="18E1C079" w:rsidR="00B74267" w:rsidRPr="00F61C4D" w:rsidRDefault="00B74267" w:rsidP="00805881">
            <w:pPr>
              <w:spacing w:before="0" w:after="0" w:line="240" w:lineRule="auto"/>
              <w:jc w:val="left"/>
              <w:rPr>
                <w:rFonts w:eastAsia="Calibri"/>
                <w:color w:val="000000"/>
              </w:rPr>
            </w:pPr>
            <w:r w:rsidRPr="00EC59B7">
              <w:t xml:space="preserve">ALD BLU TOOTH FM/DM RECEIVER       </w:t>
            </w:r>
          </w:p>
        </w:tc>
      </w:tr>
      <w:tr w:rsidR="00B74267" w:rsidRPr="00F61C4D" w14:paraId="5260EE54" w14:textId="77777777" w:rsidTr="00805881">
        <w:trPr>
          <w:trHeight w:val="288"/>
        </w:trPr>
        <w:tc>
          <w:tcPr>
            <w:tcW w:w="2430" w:type="dxa"/>
            <w:shd w:val="clear" w:color="auto" w:fill="FFFFFF"/>
            <w:vAlign w:val="center"/>
          </w:tcPr>
          <w:p w14:paraId="5BBE9219" w14:textId="7CF174D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8F7A9AA" w14:textId="3ADD2F1F" w:rsidR="00B74267" w:rsidRPr="00F61C4D" w:rsidRDefault="00B74267" w:rsidP="00805881">
            <w:pPr>
              <w:spacing w:before="0" w:after="0" w:line="240" w:lineRule="auto"/>
              <w:jc w:val="center"/>
              <w:rPr>
                <w:rFonts w:eastAsia="Calibri"/>
                <w:color w:val="000000"/>
              </w:rPr>
            </w:pPr>
            <w:r w:rsidRPr="00EC59B7">
              <w:t>V5287</w:t>
            </w:r>
          </w:p>
        </w:tc>
        <w:tc>
          <w:tcPr>
            <w:tcW w:w="7470" w:type="dxa"/>
            <w:shd w:val="clear" w:color="auto" w:fill="FFFFFF"/>
            <w:vAlign w:val="center"/>
          </w:tcPr>
          <w:p w14:paraId="1034BDC5" w14:textId="1D15E775" w:rsidR="00B74267" w:rsidRPr="00F61C4D" w:rsidRDefault="00B74267" w:rsidP="00805881">
            <w:pPr>
              <w:spacing w:before="0" w:after="0" w:line="240" w:lineRule="auto"/>
              <w:jc w:val="left"/>
              <w:rPr>
                <w:rFonts w:eastAsia="Calibri"/>
                <w:color w:val="000000"/>
              </w:rPr>
            </w:pPr>
            <w:r w:rsidRPr="00EC59B7">
              <w:t xml:space="preserve">ALD FM/DM RECEIVER, NOS            </w:t>
            </w:r>
          </w:p>
        </w:tc>
      </w:tr>
      <w:tr w:rsidR="00B74267" w:rsidRPr="00F61C4D" w14:paraId="6A4C1F10" w14:textId="77777777" w:rsidTr="00805881">
        <w:trPr>
          <w:trHeight w:val="288"/>
        </w:trPr>
        <w:tc>
          <w:tcPr>
            <w:tcW w:w="2430" w:type="dxa"/>
            <w:shd w:val="clear" w:color="auto" w:fill="auto"/>
            <w:vAlign w:val="center"/>
          </w:tcPr>
          <w:p w14:paraId="6BA3FC75" w14:textId="4E200C2C" w:rsidR="00B74267" w:rsidRPr="00F61C4D" w:rsidRDefault="00B74267" w:rsidP="00805881">
            <w:pPr>
              <w:spacing w:before="0" w:after="0" w:line="240" w:lineRule="auto"/>
              <w:jc w:val="left"/>
              <w:rPr>
                <w:rFonts w:eastAsia="Calibri"/>
                <w:color w:val="000000"/>
              </w:rPr>
            </w:pPr>
            <w:r w:rsidRPr="00EC59B7">
              <w:t>Hearing Aid</w:t>
            </w:r>
          </w:p>
        </w:tc>
        <w:tc>
          <w:tcPr>
            <w:tcW w:w="1260" w:type="dxa"/>
            <w:shd w:val="clear" w:color="auto" w:fill="auto"/>
            <w:vAlign w:val="center"/>
          </w:tcPr>
          <w:p w14:paraId="0D18FC95" w14:textId="48CB6088" w:rsidR="00B74267" w:rsidRPr="00F61C4D" w:rsidRDefault="00B74267" w:rsidP="00805881">
            <w:pPr>
              <w:spacing w:before="0" w:after="0" w:line="240" w:lineRule="auto"/>
              <w:jc w:val="center"/>
              <w:rPr>
                <w:rFonts w:eastAsia="Calibri"/>
                <w:color w:val="000000"/>
              </w:rPr>
            </w:pPr>
            <w:r w:rsidRPr="00EC59B7">
              <w:t>V5288</w:t>
            </w:r>
          </w:p>
        </w:tc>
        <w:tc>
          <w:tcPr>
            <w:tcW w:w="7470" w:type="dxa"/>
            <w:shd w:val="clear" w:color="auto" w:fill="auto"/>
            <w:vAlign w:val="center"/>
          </w:tcPr>
          <w:p w14:paraId="129E9F26" w14:textId="50A76682" w:rsidR="00B74267" w:rsidRPr="00F61C4D" w:rsidRDefault="00B74267" w:rsidP="00805881">
            <w:pPr>
              <w:spacing w:before="0" w:after="0" w:line="240" w:lineRule="auto"/>
              <w:jc w:val="left"/>
              <w:rPr>
                <w:rFonts w:eastAsia="Calibri"/>
                <w:color w:val="000000"/>
              </w:rPr>
            </w:pPr>
            <w:r w:rsidRPr="00EC59B7">
              <w:t xml:space="preserve">ALD FM/DM TRANSMITTER ALD          </w:t>
            </w:r>
          </w:p>
        </w:tc>
      </w:tr>
      <w:tr w:rsidR="00B74267" w:rsidRPr="00F61C4D" w14:paraId="4A6EAF2B" w14:textId="77777777" w:rsidTr="00805881">
        <w:trPr>
          <w:trHeight w:val="288"/>
        </w:trPr>
        <w:tc>
          <w:tcPr>
            <w:tcW w:w="2430" w:type="dxa"/>
            <w:shd w:val="clear" w:color="auto" w:fill="FFFFFF"/>
            <w:vAlign w:val="center"/>
          </w:tcPr>
          <w:p w14:paraId="055093BD" w14:textId="48683AFB" w:rsidR="00B74267" w:rsidRPr="00F61C4D" w:rsidRDefault="00B74267" w:rsidP="00805881">
            <w:pPr>
              <w:spacing w:before="0" w:after="0" w:line="240" w:lineRule="auto"/>
              <w:jc w:val="left"/>
              <w:rPr>
                <w:rFonts w:eastAsia="Calibri"/>
              </w:rPr>
            </w:pPr>
            <w:r w:rsidRPr="00EC59B7">
              <w:lastRenderedPageBreak/>
              <w:t>Hearing Aid</w:t>
            </w:r>
          </w:p>
        </w:tc>
        <w:tc>
          <w:tcPr>
            <w:tcW w:w="1260" w:type="dxa"/>
            <w:shd w:val="clear" w:color="auto" w:fill="FFFFFF"/>
            <w:vAlign w:val="center"/>
          </w:tcPr>
          <w:p w14:paraId="7F4074DA" w14:textId="0F9A1B7D" w:rsidR="00B74267" w:rsidRPr="00F61C4D" w:rsidRDefault="00B74267" w:rsidP="00805881">
            <w:pPr>
              <w:spacing w:before="0" w:after="0" w:line="240" w:lineRule="auto"/>
              <w:jc w:val="center"/>
              <w:rPr>
                <w:rFonts w:eastAsia="Calibri"/>
                <w:color w:val="111111"/>
              </w:rPr>
            </w:pPr>
            <w:r w:rsidRPr="00EC59B7">
              <w:t>V5289</w:t>
            </w:r>
          </w:p>
        </w:tc>
        <w:tc>
          <w:tcPr>
            <w:tcW w:w="7470" w:type="dxa"/>
            <w:shd w:val="clear" w:color="auto" w:fill="FFFFFF"/>
            <w:vAlign w:val="center"/>
          </w:tcPr>
          <w:p w14:paraId="66CFBC10" w14:textId="4C6E6D08" w:rsidR="00B74267" w:rsidRPr="00F61C4D" w:rsidRDefault="00B74267" w:rsidP="00805881">
            <w:pPr>
              <w:spacing w:before="0" w:after="0" w:line="240" w:lineRule="auto"/>
              <w:jc w:val="left"/>
              <w:rPr>
                <w:rFonts w:eastAsia="Calibri"/>
                <w:color w:val="111111"/>
              </w:rPr>
            </w:pPr>
            <w:r w:rsidRPr="00EC59B7">
              <w:t xml:space="preserve">ALD FM/DM ADAPT/BOOT COUPLIN       </w:t>
            </w:r>
          </w:p>
        </w:tc>
      </w:tr>
      <w:tr w:rsidR="00B74267" w:rsidRPr="00F61C4D" w14:paraId="14F347F2" w14:textId="77777777" w:rsidTr="00805881">
        <w:trPr>
          <w:trHeight w:val="288"/>
        </w:trPr>
        <w:tc>
          <w:tcPr>
            <w:tcW w:w="2430" w:type="dxa"/>
            <w:shd w:val="clear" w:color="auto" w:fill="FFFFFF"/>
            <w:vAlign w:val="center"/>
          </w:tcPr>
          <w:p w14:paraId="1342DA0B" w14:textId="60EDA56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06B38E2C" w14:textId="6B178B0E" w:rsidR="00B74267" w:rsidRPr="00F61C4D" w:rsidRDefault="00B74267" w:rsidP="00805881">
            <w:pPr>
              <w:spacing w:before="0" w:after="0" w:line="240" w:lineRule="auto"/>
              <w:jc w:val="center"/>
              <w:rPr>
                <w:rFonts w:eastAsia="Calibri"/>
                <w:color w:val="000000"/>
              </w:rPr>
            </w:pPr>
            <w:r w:rsidRPr="00EC59B7">
              <w:t>V5290</w:t>
            </w:r>
          </w:p>
        </w:tc>
        <w:tc>
          <w:tcPr>
            <w:tcW w:w="7470" w:type="dxa"/>
            <w:shd w:val="clear" w:color="auto" w:fill="FFFFFF"/>
            <w:vAlign w:val="center"/>
          </w:tcPr>
          <w:p w14:paraId="3161EDF9" w14:textId="5981DF56" w:rsidR="00B74267" w:rsidRPr="00F61C4D" w:rsidRDefault="00B74267" w:rsidP="00805881">
            <w:pPr>
              <w:spacing w:before="0" w:after="0" w:line="240" w:lineRule="auto"/>
              <w:jc w:val="left"/>
              <w:rPr>
                <w:rFonts w:eastAsia="Calibri"/>
                <w:color w:val="000000"/>
              </w:rPr>
            </w:pPr>
            <w:r w:rsidRPr="00EC59B7">
              <w:t xml:space="preserve">ALD TRANSMITTER MICROPHONE         </w:t>
            </w:r>
          </w:p>
        </w:tc>
      </w:tr>
      <w:tr w:rsidR="00B74267" w:rsidRPr="00F61C4D" w14:paraId="6575FC9F" w14:textId="77777777" w:rsidTr="00805881">
        <w:trPr>
          <w:trHeight w:val="288"/>
        </w:trPr>
        <w:tc>
          <w:tcPr>
            <w:tcW w:w="2430" w:type="dxa"/>
            <w:shd w:val="clear" w:color="auto" w:fill="FFFFFF"/>
            <w:vAlign w:val="center"/>
          </w:tcPr>
          <w:p w14:paraId="541BC443" w14:textId="4F9F9C6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484524C4" w14:textId="0B260739" w:rsidR="00B74267" w:rsidRPr="00F61C4D" w:rsidRDefault="00B74267" w:rsidP="00805881">
            <w:pPr>
              <w:spacing w:before="0" w:after="0" w:line="240" w:lineRule="auto"/>
              <w:jc w:val="center"/>
              <w:rPr>
                <w:rFonts w:eastAsia="Calibri"/>
                <w:color w:val="000000"/>
              </w:rPr>
            </w:pPr>
            <w:r w:rsidRPr="00EC59B7">
              <w:t>V5298</w:t>
            </w:r>
          </w:p>
        </w:tc>
        <w:tc>
          <w:tcPr>
            <w:tcW w:w="7470" w:type="dxa"/>
            <w:shd w:val="clear" w:color="auto" w:fill="FFFFFF"/>
            <w:vAlign w:val="center"/>
          </w:tcPr>
          <w:p w14:paraId="1FA058A9" w14:textId="23E3BA52" w:rsidR="00B74267" w:rsidRPr="00F61C4D" w:rsidRDefault="00B74267" w:rsidP="00805881">
            <w:pPr>
              <w:spacing w:before="0" w:after="0" w:line="240" w:lineRule="auto"/>
              <w:jc w:val="left"/>
              <w:rPr>
                <w:rFonts w:eastAsia="Calibri"/>
                <w:color w:val="000000"/>
              </w:rPr>
            </w:pPr>
            <w:r w:rsidRPr="00EC59B7">
              <w:t xml:space="preserve">HEARING AID NOC                    </w:t>
            </w:r>
          </w:p>
        </w:tc>
      </w:tr>
      <w:tr w:rsidR="00B74267" w:rsidRPr="00F61C4D" w14:paraId="5BBEBE8E" w14:textId="77777777" w:rsidTr="00805881">
        <w:trPr>
          <w:trHeight w:val="288"/>
        </w:trPr>
        <w:tc>
          <w:tcPr>
            <w:tcW w:w="2430" w:type="dxa"/>
            <w:shd w:val="clear" w:color="auto" w:fill="FFFFFF"/>
            <w:vAlign w:val="center"/>
          </w:tcPr>
          <w:p w14:paraId="7A69468F" w14:textId="3F225AF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3C4E43F" w14:textId="2029D109" w:rsidR="00B74267" w:rsidRPr="00F61C4D" w:rsidRDefault="00B74267" w:rsidP="00805881">
            <w:pPr>
              <w:spacing w:before="0" w:after="0" w:line="240" w:lineRule="auto"/>
              <w:jc w:val="center"/>
              <w:rPr>
                <w:rFonts w:eastAsia="Calibri"/>
                <w:color w:val="111111"/>
              </w:rPr>
            </w:pPr>
            <w:r w:rsidRPr="00EC59B7">
              <w:t>V5299</w:t>
            </w:r>
          </w:p>
        </w:tc>
        <w:tc>
          <w:tcPr>
            <w:tcW w:w="7470" w:type="dxa"/>
            <w:shd w:val="clear" w:color="auto" w:fill="FFFFFF"/>
            <w:vAlign w:val="center"/>
          </w:tcPr>
          <w:p w14:paraId="237507F3" w14:textId="18277848" w:rsidR="00B74267" w:rsidRPr="00F61C4D" w:rsidRDefault="00B74267" w:rsidP="00805881">
            <w:pPr>
              <w:spacing w:before="0" w:after="0" w:line="240" w:lineRule="auto"/>
              <w:jc w:val="left"/>
              <w:rPr>
                <w:rFonts w:eastAsia="Calibri"/>
                <w:color w:val="000000"/>
              </w:rPr>
            </w:pPr>
            <w:r w:rsidRPr="00EC59B7">
              <w:t xml:space="preserve">HEARING SERVICE                    </w:t>
            </w:r>
          </w:p>
        </w:tc>
      </w:tr>
      <w:tr w:rsidR="00B74267" w:rsidRPr="00F61C4D" w14:paraId="56568BA4" w14:textId="77777777" w:rsidTr="00805881">
        <w:trPr>
          <w:trHeight w:val="288"/>
        </w:trPr>
        <w:tc>
          <w:tcPr>
            <w:tcW w:w="2430" w:type="dxa"/>
            <w:shd w:val="clear" w:color="auto" w:fill="FFFFFF"/>
            <w:vAlign w:val="center"/>
          </w:tcPr>
          <w:p w14:paraId="3FA14027" w14:textId="11973C1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2826E798" w14:textId="33D9F3B6" w:rsidR="00B74267" w:rsidRPr="00F61C4D" w:rsidRDefault="00B74267" w:rsidP="00805881">
            <w:pPr>
              <w:spacing w:before="0" w:after="0" w:line="240" w:lineRule="auto"/>
              <w:jc w:val="center"/>
              <w:rPr>
                <w:rFonts w:eastAsia="Calibri"/>
                <w:color w:val="000000"/>
              </w:rPr>
            </w:pPr>
            <w:r w:rsidRPr="00EC59B7">
              <w:t>V5336</w:t>
            </w:r>
          </w:p>
        </w:tc>
        <w:tc>
          <w:tcPr>
            <w:tcW w:w="7470" w:type="dxa"/>
            <w:shd w:val="clear" w:color="auto" w:fill="FFFFFF"/>
            <w:vAlign w:val="center"/>
          </w:tcPr>
          <w:p w14:paraId="778F7A5F" w14:textId="55D7B9DA" w:rsidR="00B74267" w:rsidRPr="00F61C4D" w:rsidRDefault="00B74267" w:rsidP="00805881">
            <w:pPr>
              <w:spacing w:before="0" w:after="0" w:line="240" w:lineRule="auto"/>
              <w:jc w:val="left"/>
              <w:rPr>
                <w:rFonts w:eastAsia="Calibri"/>
                <w:color w:val="000000"/>
              </w:rPr>
            </w:pPr>
            <w:r w:rsidRPr="00EC59B7">
              <w:t xml:space="preserve">REPAIR COMMUNICATION DEVICE        </w:t>
            </w:r>
          </w:p>
        </w:tc>
      </w:tr>
      <w:tr w:rsidR="00B74267" w:rsidRPr="00F61C4D" w14:paraId="41A09574" w14:textId="77777777" w:rsidTr="00805881">
        <w:trPr>
          <w:trHeight w:val="288"/>
        </w:trPr>
        <w:tc>
          <w:tcPr>
            <w:tcW w:w="2430" w:type="dxa"/>
            <w:shd w:val="clear" w:color="auto" w:fill="FFFFFF"/>
            <w:vAlign w:val="center"/>
          </w:tcPr>
          <w:p w14:paraId="5137F99B" w14:textId="6E7B6F3B"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6B6F7FC7" w14:textId="5E911B58" w:rsidR="00B74267" w:rsidRPr="00F61C4D" w:rsidRDefault="00B74267" w:rsidP="00805881">
            <w:pPr>
              <w:spacing w:before="0" w:after="0" w:line="240" w:lineRule="auto"/>
              <w:jc w:val="center"/>
              <w:rPr>
                <w:rFonts w:eastAsia="Calibri"/>
                <w:color w:val="000000"/>
              </w:rPr>
            </w:pPr>
            <w:r w:rsidRPr="00EC59B7">
              <w:t>Z461</w:t>
            </w:r>
          </w:p>
        </w:tc>
        <w:tc>
          <w:tcPr>
            <w:tcW w:w="7470" w:type="dxa"/>
            <w:shd w:val="clear" w:color="auto" w:fill="FFFFFF"/>
            <w:vAlign w:val="center"/>
          </w:tcPr>
          <w:p w14:paraId="2F85F8A5" w14:textId="574FE94F" w:rsidR="00B74267" w:rsidRPr="00F61C4D" w:rsidRDefault="00B74267" w:rsidP="00805881">
            <w:pPr>
              <w:spacing w:before="0" w:after="0" w:line="240" w:lineRule="auto"/>
              <w:jc w:val="left"/>
              <w:rPr>
                <w:rFonts w:eastAsia="Calibri"/>
                <w:color w:val="000000"/>
              </w:rPr>
            </w:pPr>
            <w:r w:rsidRPr="00EC59B7">
              <w:t>Encounter for fitting and adjustment of hearing aid</w:t>
            </w:r>
          </w:p>
        </w:tc>
      </w:tr>
      <w:tr w:rsidR="00B74267" w:rsidRPr="00F61C4D" w14:paraId="3F635105" w14:textId="77777777" w:rsidTr="00805881">
        <w:trPr>
          <w:trHeight w:val="288"/>
        </w:trPr>
        <w:tc>
          <w:tcPr>
            <w:tcW w:w="2430" w:type="dxa"/>
            <w:shd w:val="clear" w:color="auto" w:fill="FFFFFF"/>
            <w:vAlign w:val="center"/>
          </w:tcPr>
          <w:p w14:paraId="48924FDE" w14:textId="031E883D"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300ED17D" w14:textId="22F23DD3" w:rsidR="00B74267" w:rsidRPr="00F61C4D" w:rsidRDefault="00B74267" w:rsidP="00805881">
            <w:pPr>
              <w:spacing w:before="0" w:after="0" w:line="240" w:lineRule="auto"/>
              <w:jc w:val="center"/>
              <w:rPr>
                <w:rFonts w:eastAsia="Calibri"/>
                <w:color w:val="000000"/>
              </w:rPr>
            </w:pPr>
            <w:r w:rsidRPr="00EC59B7">
              <w:t>Z974</w:t>
            </w:r>
          </w:p>
        </w:tc>
        <w:tc>
          <w:tcPr>
            <w:tcW w:w="7470" w:type="dxa"/>
            <w:shd w:val="clear" w:color="auto" w:fill="FFFFFF"/>
            <w:vAlign w:val="center"/>
          </w:tcPr>
          <w:p w14:paraId="43877A15" w14:textId="5D1E9E48" w:rsidR="00B74267" w:rsidRPr="00F61C4D" w:rsidRDefault="00B74267" w:rsidP="00805881">
            <w:pPr>
              <w:spacing w:before="0" w:after="0" w:line="240" w:lineRule="auto"/>
              <w:jc w:val="left"/>
              <w:rPr>
                <w:rFonts w:eastAsia="Calibri"/>
                <w:color w:val="000000"/>
              </w:rPr>
            </w:pPr>
            <w:r w:rsidRPr="00EC59B7">
              <w:t>Presence of external hearing-aid</w:t>
            </w:r>
          </w:p>
        </w:tc>
      </w:tr>
      <w:tr w:rsidR="00B74267" w:rsidRPr="00F61C4D" w14:paraId="596C0D9A" w14:textId="77777777" w:rsidTr="00805881">
        <w:trPr>
          <w:trHeight w:val="288"/>
        </w:trPr>
        <w:tc>
          <w:tcPr>
            <w:tcW w:w="2430" w:type="dxa"/>
            <w:shd w:val="clear" w:color="auto" w:fill="FFFFFF"/>
            <w:vAlign w:val="center"/>
          </w:tcPr>
          <w:p w14:paraId="6027FB0A" w14:textId="11714D5E"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8D6A0BF" w14:textId="3B24E789" w:rsidR="00B74267" w:rsidRPr="00F61C4D" w:rsidRDefault="00B74267" w:rsidP="00805881">
            <w:pPr>
              <w:spacing w:before="0" w:after="0" w:line="240" w:lineRule="auto"/>
              <w:jc w:val="center"/>
              <w:rPr>
                <w:rFonts w:eastAsia="Calibri"/>
                <w:color w:val="111111"/>
              </w:rPr>
            </w:pPr>
            <w:r w:rsidRPr="00EC59B7">
              <w:t>69710</w:t>
            </w:r>
          </w:p>
        </w:tc>
        <w:tc>
          <w:tcPr>
            <w:tcW w:w="7470" w:type="dxa"/>
            <w:shd w:val="clear" w:color="auto" w:fill="FFFFFF"/>
            <w:vAlign w:val="center"/>
          </w:tcPr>
          <w:p w14:paraId="5CE1B1BA" w14:textId="7154582B" w:rsidR="00B74267" w:rsidRPr="00F61C4D" w:rsidRDefault="00B74267" w:rsidP="00805881">
            <w:pPr>
              <w:spacing w:before="0" w:after="0" w:line="240" w:lineRule="auto"/>
              <w:jc w:val="left"/>
              <w:rPr>
                <w:rFonts w:eastAsia="Calibri"/>
                <w:color w:val="000000"/>
              </w:rPr>
            </w:pPr>
            <w:r w:rsidRPr="00EC59B7">
              <w:t>IMPLTJ/RPLCMT EMGNT BONE CNDJ DEV TEMPORAL BONE</w:t>
            </w:r>
          </w:p>
        </w:tc>
      </w:tr>
      <w:tr w:rsidR="00B74267" w:rsidRPr="00F61C4D" w14:paraId="6E0A8CD7" w14:textId="77777777" w:rsidTr="00805881">
        <w:trPr>
          <w:trHeight w:val="288"/>
        </w:trPr>
        <w:tc>
          <w:tcPr>
            <w:tcW w:w="2430" w:type="dxa"/>
            <w:shd w:val="clear" w:color="auto" w:fill="FFFFFF"/>
            <w:vAlign w:val="center"/>
          </w:tcPr>
          <w:p w14:paraId="2152AF67" w14:textId="3D13CB50" w:rsidR="00B74267" w:rsidRPr="00F61C4D" w:rsidRDefault="00B74267" w:rsidP="00805881">
            <w:pPr>
              <w:spacing w:before="0" w:after="0" w:line="240" w:lineRule="auto"/>
              <w:jc w:val="left"/>
              <w:rPr>
                <w:rFonts w:eastAsia="Calibri"/>
              </w:rPr>
            </w:pPr>
            <w:r w:rsidRPr="00EC59B7">
              <w:t>Hearing Aid</w:t>
            </w:r>
          </w:p>
        </w:tc>
        <w:tc>
          <w:tcPr>
            <w:tcW w:w="1260" w:type="dxa"/>
            <w:shd w:val="clear" w:color="auto" w:fill="FFFFFF"/>
            <w:vAlign w:val="center"/>
          </w:tcPr>
          <w:p w14:paraId="7C1FCFD1" w14:textId="282EFE6E" w:rsidR="00B74267" w:rsidRPr="00F61C4D" w:rsidRDefault="00B74267" w:rsidP="00805881">
            <w:pPr>
              <w:spacing w:before="0" w:after="0" w:line="240" w:lineRule="auto"/>
              <w:jc w:val="center"/>
              <w:rPr>
                <w:rFonts w:eastAsia="Calibri"/>
                <w:color w:val="000000"/>
              </w:rPr>
            </w:pPr>
            <w:r w:rsidRPr="00EC59B7">
              <w:t>69711</w:t>
            </w:r>
          </w:p>
        </w:tc>
        <w:tc>
          <w:tcPr>
            <w:tcW w:w="7470" w:type="dxa"/>
            <w:shd w:val="clear" w:color="auto" w:fill="FFFFFF"/>
            <w:vAlign w:val="center"/>
          </w:tcPr>
          <w:p w14:paraId="6B74771D" w14:textId="0CE31B6B" w:rsidR="00B74267" w:rsidRPr="00F61C4D" w:rsidRDefault="00B74267" w:rsidP="00805881">
            <w:pPr>
              <w:spacing w:before="0" w:after="0" w:line="240" w:lineRule="auto"/>
              <w:jc w:val="left"/>
              <w:rPr>
                <w:rFonts w:eastAsia="Calibri"/>
                <w:color w:val="000000"/>
              </w:rPr>
            </w:pPr>
            <w:r w:rsidRPr="00EC59B7">
              <w:t>RMVL/RPR EMGNT BONE CNDJ DEV TEMPORAL BONE</w:t>
            </w:r>
          </w:p>
        </w:tc>
      </w:tr>
    </w:tbl>
    <w:p w14:paraId="418CBD7A" w14:textId="2E99FD74" w:rsidR="00BC3F2D" w:rsidRDefault="00BC3F2D" w:rsidP="00E06409">
      <w:pPr>
        <w:pStyle w:val="Heading1"/>
      </w:pPr>
    </w:p>
    <w:sectPr w:rsidR="00BC3F2D" w:rsidSect="00E06409">
      <w:headerReference w:type="default" r:id="rId13"/>
      <w:footerReference w:type="default" r:id="rId14"/>
      <w:pgSz w:w="12240" w:h="15840"/>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44C1" w14:textId="77777777" w:rsidR="00BB5F3E" w:rsidRDefault="00BB5F3E">
      <w:pPr>
        <w:spacing w:before="0" w:after="0" w:line="240" w:lineRule="auto"/>
      </w:pPr>
      <w:r>
        <w:separator/>
      </w:r>
    </w:p>
    <w:p w14:paraId="7D796B70" w14:textId="77777777" w:rsidR="00BB5F3E" w:rsidRDefault="00BB5F3E"/>
  </w:endnote>
  <w:endnote w:type="continuationSeparator" w:id="0">
    <w:p w14:paraId="73C33D85" w14:textId="77777777" w:rsidR="00BB5F3E" w:rsidRDefault="00BB5F3E">
      <w:pPr>
        <w:spacing w:before="0" w:after="0" w:line="240" w:lineRule="auto"/>
      </w:pPr>
      <w:r>
        <w:continuationSeparator/>
      </w:r>
    </w:p>
    <w:p w14:paraId="549DEB90" w14:textId="77777777" w:rsidR="00BB5F3E" w:rsidRDefault="00BB5F3E"/>
  </w:endnote>
  <w:endnote w:type="continuationNotice" w:id="1">
    <w:p w14:paraId="62F04FF5" w14:textId="77777777" w:rsidR="00BB5F3E" w:rsidRDefault="00BB5F3E">
      <w:pPr>
        <w:spacing w:before="0" w:after="0" w:line="240" w:lineRule="auto"/>
      </w:pPr>
    </w:p>
    <w:p w14:paraId="4FEFA8D1" w14:textId="77777777" w:rsidR="00BB5F3E" w:rsidRDefault="00BB5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OpenSans">
    <w:charset w:val="00"/>
    <w:family w:val="auto"/>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B5F3E" w:rsidRPr="00376859" w14:paraId="44DD1C91" w14:textId="77777777" w:rsidTr="006628D8">
      <w:tc>
        <w:tcPr>
          <w:tcW w:w="2500" w:type="pct"/>
          <w:vAlign w:val="bottom"/>
        </w:tcPr>
        <w:p w14:paraId="7DA8767E" w14:textId="569CE61E" w:rsidR="00BB5F3E" w:rsidRPr="00376859" w:rsidRDefault="00BB5F3E" w:rsidP="00376859">
          <w:pPr>
            <w:tabs>
              <w:tab w:val="right" w:pos="9360"/>
            </w:tabs>
            <w:rPr>
              <w:rFonts w:ascii="Arial" w:hAnsi="Arial" w:cs="Arial"/>
              <w:b/>
              <w:color w:val="777777" w:themeColor="background1" w:themeShade="80"/>
              <w:sz w:val="16"/>
              <w:szCs w:val="16"/>
            </w:rPr>
          </w:pPr>
          <w:r w:rsidRPr="00376859">
            <w:rPr>
              <w:rFonts w:ascii="Arial" w:hAnsi="Arial" w:cs="Arial"/>
              <w:b/>
              <w:color w:val="777777" w:themeColor="background1" w:themeShade="80"/>
              <w:sz w:val="16"/>
              <w:szCs w:val="16"/>
              <w:lang w:val="en"/>
            </w:rPr>
            <w:t>Benchmark Plan Benefit Valuation Report</w:t>
          </w:r>
        </w:p>
      </w:tc>
      <w:tc>
        <w:tcPr>
          <w:tcW w:w="2500" w:type="pct"/>
          <w:vAlign w:val="bottom"/>
        </w:tcPr>
        <w:p w14:paraId="42D6C8AB" w14:textId="53A30604" w:rsidR="00BB5F3E" w:rsidRPr="00376859" w:rsidRDefault="00BB5F3E" w:rsidP="00376859">
          <w:pPr>
            <w:tabs>
              <w:tab w:val="right" w:pos="9360"/>
            </w:tabs>
            <w:jc w:val="right"/>
            <w:rPr>
              <w:rFonts w:ascii="Arial" w:hAnsi="Arial" w:cs="Arial"/>
              <w:b/>
              <w:color w:val="777777" w:themeColor="background1" w:themeShade="80"/>
              <w:sz w:val="16"/>
              <w:szCs w:val="16"/>
            </w:rPr>
          </w:pPr>
          <w:r>
            <w:rPr>
              <w:rFonts w:ascii="Arial" w:hAnsi="Arial" w:cs="Arial"/>
              <w:b/>
              <w:color w:val="777777" w:themeColor="background1" w:themeShade="80"/>
              <w:sz w:val="16"/>
              <w:szCs w:val="16"/>
            </w:rPr>
            <w:t>State of Vermont</w:t>
          </w:r>
        </w:p>
      </w:tc>
    </w:tr>
  </w:tbl>
  <w:p w14:paraId="6B61E720" w14:textId="77777777" w:rsidR="00BB5F3E" w:rsidRPr="00376859" w:rsidRDefault="00BB5F3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B5F3E" w:rsidRPr="00376859" w14:paraId="377D450C" w14:textId="77777777" w:rsidTr="006628D8">
      <w:tc>
        <w:tcPr>
          <w:tcW w:w="2500" w:type="pct"/>
          <w:vAlign w:val="bottom"/>
        </w:tcPr>
        <w:p w14:paraId="1D541296" w14:textId="77777777" w:rsidR="00BB5F3E" w:rsidRPr="00376859" w:rsidRDefault="00BB5F3E" w:rsidP="00376859">
          <w:pPr>
            <w:tabs>
              <w:tab w:val="right" w:pos="9360"/>
            </w:tabs>
            <w:rPr>
              <w:rFonts w:ascii="Arial" w:hAnsi="Arial" w:cs="Arial"/>
              <w:b/>
              <w:color w:val="777777" w:themeColor="background1" w:themeShade="80"/>
              <w:sz w:val="16"/>
              <w:szCs w:val="16"/>
            </w:rPr>
          </w:pPr>
          <w:r w:rsidRPr="00376859">
            <w:rPr>
              <w:rFonts w:ascii="Arial" w:hAnsi="Arial" w:cs="Arial"/>
              <w:b/>
              <w:color w:val="777777" w:themeColor="background1" w:themeShade="80"/>
              <w:sz w:val="16"/>
              <w:szCs w:val="16"/>
              <w:lang w:val="en"/>
            </w:rPr>
            <w:t>Benchmark Plan Benefit Valuation Report</w:t>
          </w:r>
        </w:p>
      </w:tc>
      <w:tc>
        <w:tcPr>
          <w:tcW w:w="2500" w:type="pct"/>
          <w:vAlign w:val="bottom"/>
        </w:tcPr>
        <w:p w14:paraId="3D59C23C" w14:textId="6FDEFBE1" w:rsidR="00BB5F3E" w:rsidRPr="00376859" w:rsidRDefault="00BB5F3E" w:rsidP="00376859">
          <w:pPr>
            <w:tabs>
              <w:tab w:val="right" w:pos="9360"/>
            </w:tabs>
            <w:jc w:val="right"/>
            <w:rPr>
              <w:rFonts w:ascii="Arial" w:hAnsi="Arial" w:cs="Arial"/>
              <w:b/>
              <w:color w:val="777777" w:themeColor="background1" w:themeShade="80"/>
              <w:sz w:val="16"/>
              <w:szCs w:val="16"/>
            </w:rPr>
          </w:pPr>
          <w:r>
            <w:rPr>
              <w:rFonts w:ascii="Arial" w:hAnsi="Arial" w:cs="Arial"/>
              <w:b/>
              <w:color w:val="777777" w:themeColor="background1" w:themeShade="80"/>
              <w:sz w:val="16"/>
              <w:szCs w:val="16"/>
            </w:rPr>
            <w:t>State of Vermont</w:t>
          </w:r>
        </w:p>
      </w:tc>
    </w:tr>
  </w:tbl>
  <w:p w14:paraId="5BCEC19D" w14:textId="77777777" w:rsidR="00BB5F3E" w:rsidRPr="00376859" w:rsidRDefault="00BB5F3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8101" w14:textId="77777777" w:rsidR="00BB5F3E" w:rsidRDefault="00BB5F3E">
      <w:pPr>
        <w:spacing w:before="0" w:after="0" w:line="240" w:lineRule="auto"/>
      </w:pPr>
      <w:r>
        <w:separator/>
      </w:r>
    </w:p>
    <w:p w14:paraId="2AB603EA" w14:textId="77777777" w:rsidR="00BB5F3E" w:rsidRDefault="00BB5F3E"/>
  </w:footnote>
  <w:footnote w:type="continuationSeparator" w:id="0">
    <w:p w14:paraId="2488853C" w14:textId="77777777" w:rsidR="00BB5F3E" w:rsidRDefault="00BB5F3E">
      <w:pPr>
        <w:spacing w:before="0" w:after="0" w:line="240" w:lineRule="auto"/>
      </w:pPr>
      <w:r>
        <w:continuationSeparator/>
      </w:r>
    </w:p>
    <w:p w14:paraId="3CB247E6" w14:textId="77777777" w:rsidR="00BB5F3E" w:rsidRDefault="00BB5F3E"/>
  </w:footnote>
  <w:footnote w:type="continuationNotice" w:id="1">
    <w:p w14:paraId="5F63804E" w14:textId="77777777" w:rsidR="00BB5F3E" w:rsidRDefault="00BB5F3E">
      <w:pPr>
        <w:spacing w:before="0" w:after="0" w:line="240" w:lineRule="auto"/>
      </w:pPr>
    </w:p>
    <w:p w14:paraId="5A294F4A" w14:textId="77777777" w:rsidR="00BB5F3E" w:rsidRDefault="00BB5F3E"/>
  </w:footnote>
  <w:footnote w:id="2">
    <w:p w14:paraId="106CD8FE" w14:textId="77777777" w:rsidR="00BB5F3E" w:rsidRDefault="00BB5F3E" w:rsidP="009146BD">
      <w:pPr>
        <w:pBdr>
          <w:top w:val="nil"/>
          <w:left w:val="nil"/>
          <w:bottom w:val="nil"/>
          <w:right w:val="nil"/>
          <w:between w:val="nil"/>
        </w:pBdr>
        <w:spacing w:before="0" w:after="0"/>
        <w:jc w:val="left"/>
        <w:rPr>
          <w:color w:val="000000"/>
          <w:sz w:val="18"/>
          <w:szCs w:val="18"/>
        </w:rPr>
      </w:pPr>
      <w:r>
        <w:rPr>
          <w:vertAlign w:val="superscript"/>
        </w:rPr>
        <w:footnoteRef/>
      </w:r>
      <w:r>
        <w:rPr>
          <w:color w:val="000000"/>
          <w:sz w:val="18"/>
          <w:szCs w:val="18"/>
        </w:rPr>
        <w:t xml:space="preserve"> A full list of services is provided in Appendix D</w:t>
      </w:r>
    </w:p>
  </w:footnote>
  <w:footnote w:id="3">
    <w:p w14:paraId="6E1C6BC9" w14:textId="4D5E3ACD" w:rsidR="00BB5F3E" w:rsidRPr="008972BE" w:rsidRDefault="00BB5F3E" w:rsidP="00573C49">
      <w:pPr>
        <w:pStyle w:val="FootnoteText"/>
        <w:spacing w:after="60"/>
        <w:rPr>
          <w:lang w:val="en-US"/>
        </w:rPr>
      </w:pPr>
      <w:r>
        <w:rPr>
          <w:rStyle w:val="FootnoteReference"/>
        </w:rPr>
        <w:footnoteRef/>
      </w:r>
      <w:r>
        <w:t xml:space="preserve"> </w:t>
      </w:r>
      <w:r>
        <w:rPr>
          <w:lang w:val="en-US"/>
        </w:rPr>
        <w:t>Additional details on Wakely’s Internal Databases can be found in Appendix A</w:t>
      </w:r>
    </w:p>
  </w:footnote>
  <w:footnote w:id="4">
    <w:p w14:paraId="4B1BBDFF" w14:textId="6A73210C" w:rsidR="00BB5F3E" w:rsidRPr="00D17C00" w:rsidRDefault="00BB5F3E" w:rsidP="00573C49">
      <w:pPr>
        <w:pStyle w:val="FootnoteText"/>
        <w:spacing w:after="60"/>
        <w:rPr>
          <w:lang w:val="en-US"/>
        </w:rPr>
      </w:pPr>
      <w:r>
        <w:rPr>
          <w:rStyle w:val="FootnoteReference"/>
        </w:rPr>
        <w:footnoteRef/>
      </w:r>
      <w:r>
        <w:t xml:space="preserve"> </w:t>
      </w:r>
      <w:r>
        <w:rPr>
          <w:lang w:val="en-US"/>
        </w:rPr>
        <w:t>Per CMS requirements, the typicality and generosity tests are calculated using the expected value at 100% actuarial value (i.e., allowed claims). Premiums generally change commensurately with changes in allowed cost, although the actual premium change is a function of cost-sharing and non-benefit expense amounts. Overall, the average premium impact is estimated to be slightly less than the allowed impact.</w:t>
      </w:r>
    </w:p>
  </w:footnote>
  <w:footnote w:id="5">
    <w:p w14:paraId="56219302" w14:textId="77777777" w:rsidR="00BB5F3E" w:rsidRPr="00E06409" w:rsidRDefault="00BB5F3E" w:rsidP="00E06409">
      <w:pPr>
        <w:pStyle w:val="FootnoteText"/>
        <w:rPr>
          <w:sz w:val="18"/>
        </w:rPr>
      </w:pPr>
      <w:r w:rsidRPr="00E06409">
        <w:rPr>
          <w:sz w:val="18"/>
          <w:vertAlign w:val="superscript"/>
        </w:rPr>
        <w:footnoteRef/>
      </w:r>
      <w:r w:rsidRPr="00E06409">
        <w:rPr>
          <w:sz w:val="18"/>
        </w:rPr>
        <w:t xml:space="preserve"> Figures were rounded to the first decimal place to align with the generosity standard in which the proposed benchmark cannot exceed the most generous plan by 0.0%. </w:t>
      </w:r>
    </w:p>
  </w:footnote>
  <w:footnote w:id="6">
    <w:p w14:paraId="49CCFB31" w14:textId="0AC8251D" w:rsidR="00BB5F3E" w:rsidRPr="00812357" w:rsidRDefault="00BB5F3E" w:rsidP="00573C49">
      <w:pPr>
        <w:pStyle w:val="FootnoteText"/>
        <w:spacing w:after="60"/>
        <w:rPr>
          <w:lang w:val="en-US"/>
        </w:rPr>
      </w:pPr>
      <w:r>
        <w:rPr>
          <w:rStyle w:val="FootnoteReference"/>
        </w:rPr>
        <w:footnoteRef/>
      </w:r>
      <w:r>
        <w:t xml:space="preserve"> </w:t>
      </w:r>
      <w:r>
        <w:rPr>
          <w:lang w:val="en-US"/>
        </w:rPr>
        <w:t>Lifestyle drug coverage includes erectile dysfunctional drugs.</w:t>
      </w:r>
    </w:p>
  </w:footnote>
  <w:footnote w:id="7">
    <w:p w14:paraId="01BAABB4" w14:textId="77777777" w:rsidR="00BB5F3E" w:rsidRDefault="00BB5F3E" w:rsidP="00573C49">
      <w:pPr>
        <w:pBdr>
          <w:top w:val="nil"/>
          <w:left w:val="nil"/>
          <w:bottom w:val="nil"/>
          <w:right w:val="nil"/>
          <w:between w:val="nil"/>
        </w:pBdr>
        <w:spacing w:before="0" w:after="60" w:line="240" w:lineRule="auto"/>
        <w:jc w:val="left"/>
        <w:rPr>
          <w:color w:val="000000"/>
          <w:sz w:val="18"/>
          <w:szCs w:val="18"/>
        </w:rPr>
      </w:pPr>
      <w:r>
        <w:rPr>
          <w:vertAlign w:val="superscript"/>
        </w:rPr>
        <w:footnoteRef/>
      </w:r>
      <w:r>
        <w:rPr>
          <w:color w:val="000000"/>
          <w:sz w:val="18"/>
          <w:szCs w:val="18"/>
        </w:rPr>
        <w:t xml:space="preserve"> https://www.regtap.info/uploads/library/PMSC_Slides_022421_5CR_022421.pdf</w:t>
      </w:r>
    </w:p>
  </w:footnote>
  <w:footnote w:id="8">
    <w:p w14:paraId="7159C8B7" w14:textId="77777777" w:rsidR="00BB5F3E" w:rsidRDefault="00BB5F3E" w:rsidP="00573C49">
      <w:pPr>
        <w:pBdr>
          <w:top w:val="nil"/>
          <w:left w:val="nil"/>
          <w:bottom w:val="nil"/>
          <w:right w:val="nil"/>
          <w:between w:val="nil"/>
        </w:pBdr>
        <w:spacing w:before="0" w:after="0"/>
        <w:jc w:val="left"/>
        <w:rPr>
          <w:color w:val="000000"/>
          <w:sz w:val="18"/>
          <w:szCs w:val="18"/>
        </w:rPr>
      </w:pPr>
      <w:r>
        <w:rPr>
          <w:vertAlign w:val="superscript"/>
        </w:rPr>
        <w:footnoteRef/>
      </w:r>
      <w:r>
        <w:rPr>
          <w:color w:val="000000"/>
          <w:sz w:val="18"/>
          <w:szCs w:val="18"/>
        </w:rPr>
        <w:t xml:space="preserve"> Only benefit differences estimated to have a value greater than 0.00% are shown.</w:t>
      </w:r>
    </w:p>
  </w:footnote>
  <w:footnote w:id="9">
    <w:p w14:paraId="1C761AC2" w14:textId="5BAD258F" w:rsidR="00BB5F3E" w:rsidRDefault="00BB5F3E" w:rsidP="00573C49">
      <w:pPr>
        <w:pBdr>
          <w:top w:val="nil"/>
          <w:left w:val="nil"/>
          <w:bottom w:val="nil"/>
          <w:right w:val="nil"/>
          <w:between w:val="nil"/>
        </w:pBdr>
        <w:spacing w:before="0" w:after="0"/>
        <w:jc w:val="left"/>
        <w:rPr>
          <w:color w:val="000000"/>
          <w:sz w:val="18"/>
          <w:szCs w:val="18"/>
        </w:rPr>
      </w:pPr>
      <w:r>
        <w:rPr>
          <w:vertAlign w:val="superscript"/>
        </w:rPr>
        <w:footnoteRef/>
      </w:r>
      <w:r>
        <w:rPr>
          <w:color w:val="000000"/>
          <w:sz w:val="18"/>
          <w:szCs w:val="18"/>
        </w:rPr>
        <w:t xml:space="preserve"> https://www.regtap.info/uploads/library/PMSC_Slides_022421_5CR_022421.pdf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751" w14:textId="77777777" w:rsidR="00BB5F3E" w:rsidRDefault="00BB5F3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0" w:type="dxa"/>
      <w:tblInd w:w="-5" w:type="dxa"/>
      <w:tblLayout w:type="fixed"/>
      <w:tblLook w:val="04A0" w:firstRow="1" w:lastRow="0" w:firstColumn="1" w:lastColumn="0" w:noHBand="0" w:noVBand="1"/>
    </w:tblPr>
    <w:tblGrid>
      <w:gridCol w:w="4675"/>
      <w:gridCol w:w="4675"/>
    </w:tblGrid>
    <w:tr w:rsidR="00BB5F3E" w14:paraId="18748388" w14:textId="77777777" w:rsidTr="004B57DA">
      <w:trPr>
        <w:trHeight w:val="800"/>
      </w:trPr>
      <w:tc>
        <w:tcPr>
          <w:tcW w:w="4675" w:type="dxa"/>
        </w:tcPr>
        <w:p w14:paraId="5572996B" w14:textId="77777777" w:rsidR="00BB5F3E" w:rsidRDefault="00BB5F3E" w:rsidP="002C1E10">
          <w:pPr>
            <w:pStyle w:val="Header"/>
          </w:pPr>
          <w:r>
            <w:rPr>
              <w:noProof/>
            </w:rPr>
            <w:drawing>
              <wp:anchor distT="0" distB="0" distL="114300" distR="114300" simplePos="0" relativeHeight="251658241" behindDoc="0" locked="0" layoutInCell="1" allowOverlap="1" wp14:anchorId="48E6B7DF" wp14:editId="2D3020D2">
                <wp:simplePos x="0" y="0"/>
                <wp:positionH relativeFrom="column">
                  <wp:posOffset>49238</wp:posOffset>
                </wp:positionH>
                <wp:positionV relativeFrom="paragraph">
                  <wp:posOffset>4273</wp:posOffset>
                </wp:positionV>
                <wp:extent cx="126195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kele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955" cy="457200"/>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2874808E" w14:textId="39DB6218" w:rsidR="00BB5F3E" w:rsidRPr="003646D9" w:rsidRDefault="00BB5F3E">
          <w:pPr>
            <w:pStyle w:val="Header"/>
            <w:ind w:right="62"/>
            <w:jc w:val="right"/>
            <w:rPr>
              <w:rFonts w:ascii="Arial" w:hAnsi="Arial" w:cs="Arial"/>
            </w:rPr>
          </w:pPr>
          <w:r w:rsidRPr="003646D9">
            <w:rPr>
              <w:rFonts w:ascii="Arial" w:hAnsi="Arial" w:cs="Arial"/>
            </w:rPr>
            <w:t xml:space="preserve">page </w:t>
          </w:r>
          <w:r w:rsidRPr="003646D9">
            <w:rPr>
              <w:rFonts w:ascii="Arial" w:hAnsi="Arial" w:cs="Arial"/>
            </w:rPr>
            <w:fldChar w:fldCharType="begin"/>
          </w:r>
          <w:r w:rsidRPr="003646D9">
            <w:rPr>
              <w:rFonts w:ascii="Arial" w:hAnsi="Arial" w:cs="Arial"/>
            </w:rPr>
            <w:instrText xml:space="preserve"> PAGE   \* MERGEFORMAT </w:instrText>
          </w:r>
          <w:r w:rsidRPr="003646D9">
            <w:rPr>
              <w:rFonts w:ascii="Arial" w:hAnsi="Arial" w:cs="Arial"/>
            </w:rPr>
            <w:fldChar w:fldCharType="separate"/>
          </w:r>
          <w:r w:rsidR="00871F76">
            <w:rPr>
              <w:rFonts w:ascii="Arial" w:hAnsi="Arial" w:cs="Arial"/>
              <w:noProof/>
            </w:rPr>
            <w:t>i</w:t>
          </w:r>
          <w:r w:rsidRPr="003646D9">
            <w:rPr>
              <w:rFonts w:ascii="Arial" w:hAnsi="Arial" w:cs="Arial"/>
              <w:noProof/>
            </w:rPr>
            <w:fldChar w:fldCharType="end"/>
          </w:r>
        </w:p>
      </w:tc>
    </w:tr>
  </w:tbl>
  <w:p w14:paraId="60CFDD56" w14:textId="77777777" w:rsidR="00BB5F3E" w:rsidRDefault="00BB5F3E">
    <w:pPr>
      <w:pBdr>
        <w:top w:val="nil"/>
        <w:left w:val="nil"/>
        <w:bottom w:val="nil"/>
        <w:right w:val="nil"/>
        <w:between w:val="nil"/>
      </w:pBdr>
      <w:tabs>
        <w:tab w:val="center" w:pos="4680"/>
        <w:tab w:val="right" w:pos="9360"/>
        <w:tab w:val="left" w:pos="71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0"/>
      <w:gridCol w:w="1890"/>
    </w:tblGrid>
    <w:tr w:rsidR="00BB5F3E" w:rsidRPr="00594155" w14:paraId="52564A1D" w14:textId="77777777" w:rsidTr="003646D9">
      <w:trPr>
        <w:jc w:val="center"/>
      </w:trPr>
      <w:tc>
        <w:tcPr>
          <w:tcW w:w="4050" w:type="dxa"/>
        </w:tcPr>
        <w:p w14:paraId="738E3C68" w14:textId="19A797CF" w:rsidR="00BB5F3E" w:rsidRPr="00594155" w:rsidRDefault="00BB5F3E" w:rsidP="00741DFD">
          <w:pPr>
            <w:spacing w:before="100" w:beforeAutospacing="1" w:after="100" w:afterAutospacing="1"/>
            <w:jc w:val="both"/>
            <w:rPr>
              <w:rFonts w:ascii="Arial" w:eastAsia="Arial" w:hAnsi="Arial" w:cs="Times New Roman"/>
            </w:rPr>
          </w:pPr>
          <w:r w:rsidRPr="00594155">
            <w:rPr>
              <w:rFonts w:cs="Times New Roman"/>
              <w:noProof/>
            </w:rPr>
            <w:drawing>
              <wp:anchor distT="0" distB="0" distL="114300" distR="114300" simplePos="0" relativeHeight="251658240" behindDoc="0" locked="0" layoutInCell="1" allowOverlap="1" wp14:anchorId="67FD5939" wp14:editId="2254BF25">
                <wp:simplePos x="0" y="0"/>
                <wp:positionH relativeFrom="column">
                  <wp:posOffset>51435</wp:posOffset>
                </wp:positionH>
                <wp:positionV relativeFrom="paragraph">
                  <wp:posOffset>166370</wp:posOffset>
                </wp:positionV>
                <wp:extent cx="1261745"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kele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457200"/>
                        </a:xfrm>
                        <a:prstGeom prst="rect">
                          <a:avLst/>
                        </a:prstGeom>
                      </pic:spPr>
                    </pic:pic>
                  </a:graphicData>
                </a:graphic>
                <wp14:sizeRelH relativeFrom="page">
                  <wp14:pctWidth>0</wp14:pctWidth>
                </wp14:sizeRelH>
                <wp14:sizeRelV relativeFrom="page">
                  <wp14:pctHeight>0</wp14:pctHeight>
                </wp14:sizeRelV>
              </wp:anchor>
            </w:drawing>
          </w:r>
        </w:p>
      </w:tc>
      <w:tc>
        <w:tcPr>
          <w:tcW w:w="3600" w:type="dxa"/>
        </w:tcPr>
        <w:p w14:paraId="32B05147" w14:textId="77777777" w:rsidR="00BB5F3E" w:rsidRPr="00594155" w:rsidRDefault="00BB5F3E" w:rsidP="00741DFD">
          <w:pPr>
            <w:jc w:val="both"/>
            <w:rPr>
              <w:rFonts w:ascii="Arial" w:eastAsia="Arial" w:hAnsi="Arial" w:cs="OpenSans"/>
            </w:rPr>
          </w:pPr>
        </w:p>
      </w:tc>
      <w:tc>
        <w:tcPr>
          <w:tcW w:w="1890" w:type="dxa"/>
        </w:tcPr>
        <w:p w14:paraId="312ACF0F" w14:textId="77777777" w:rsidR="00BB5F3E" w:rsidRPr="00594155" w:rsidRDefault="00BB5F3E" w:rsidP="00741DFD">
          <w:pPr>
            <w:jc w:val="right"/>
            <w:rPr>
              <w:rFonts w:ascii="Arial" w:eastAsia="Arial" w:hAnsi="Arial" w:cs="Times New Roman"/>
              <w:color w:val="00AEEF"/>
            </w:rPr>
          </w:pPr>
          <w:r w:rsidRPr="00594155">
            <w:rPr>
              <w:rFonts w:ascii="Arial" w:eastAsia="Arial" w:hAnsi="Arial" w:cs="Times New Roman"/>
              <w:color w:val="00AEEF"/>
            </w:rPr>
            <w:t>wakely.com</w:t>
          </w:r>
        </w:p>
      </w:tc>
    </w:tr>
    <w:tr w:rsidR="00BB5F3E" w:rsidRPr="00594155" w14:paraId="6F81F769" w14:textId="77777777" w:rsidTr="003646D9">
      <w:trPr>
        <w:trHeight w:val="810"/>
        <w:jc w:val="center"/>
      </w:trPr>
      <w:tc>
        <w:tcPr>
          <w:tcW w:w="4050" w:type="dxa"/>
        </w:tcPr>
        <w:p w14:paraId="5366284E" w14:textId="3C9E22BE" w:rsidR="00BB5F3E" w:rsidRPr="00594155" w:rsidRDefault="00BB5F3E" w:rsidP="00741DFD">
          <w:pPr>
            <w:spacing w:before="100" w:beforeAutospacing="1" w:afterAutospacing="1"/>
            <w:jc w:val="both"/>
            <w:rPr>
              <w:rFonts w:ascii="Arial" w:eastAsia="Arial" w:hAnsi="Arial" w:cs="Times New Roman"/>
              <w:noProof/>
            </w:rPr>
          </w:pPr>
        </w:p>
      </w:tc>
      <w:tc>
        <w:tcPr>
          <w:tcW w:w="3600" w:type="dxa"/>
        </w:tcPr>
        <w:p w14:paraId="11251626" w14:textId="77777777" w:rsidR="00BB5F3E" w:rsidRPr="00594155" w:rsidRDefault="00BB5F3E" w:rsidP="00741DFD">
          <w:pPr>
            <w:jc w:val="both"/>
            <w:rPr>
              <w:rFonts w:ascii="Arial" w:eastAsia="Arial" w:hAnsi="Arial" w:cs="OpenSans"/>
            </w:rPr>
          </w:pPr>
        </w:p>
      </w:tc>
      <w:tc>
        <w:tcPr>
          <w:tcW w:w="1890" w:type="dxa"/>
        </w:tcPr>
        <w:p w14:paraId="56CF732A" w14:textId="77777777" w:rsidR="00BB5F3E" w:rsidRPr="00594155" w:rsidRDefault="00BB5F3E" w:rsidP="00741DFD">
          <w:pPr>
            <w:spacing w:before="100" w:beforeAutospacing="1" w:after="100" w:afterAutospacing="1"/>
            <w:jc w:val="both"/>
            <w:rPr>
              <w:rFonts w:ascii="Arial" w:eastAsia="Arial" w:hAnsi="Arial" w:cs="Times New Roman"/>
            </w:rPr>
          </w:pPr>
        </w:p>
      </w:tc>
    </w:tr>
  </w:tbl>
  <w:p w14:paraId="231716D1" w14:textId="77777777" w:rsidR="00BB5F3E" w:rsidRDefault="00BB5F3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680"/>
      <w:gridCol w:w="4680"/>
    </w:tblGrid>
    <w:tr w:rsidR="00BB5F3E" w14:paraId="5DF3D126" w14:textId="77777777" w:rsidTr="000029F8">
      <w:trPr>
        <w:trHeight w:val="800"/>
      </w:trPr>
      <w:tc>
        <w:tcPr>
          <w:tcW w:w="2500" w:type="pct"/>
        </w:tcPr>
        <w:p w14:paraId="1EB60B3B" w14:textId="77777777" w:rsidR="00BB5F3E" w:rsidRDefault="00BB5F3E" w:rsidP="002C1E10">
          <w:pPr>
            <w:pStyle w:val="Header"/>
          </w:pPr>
          <w:r>
            <w:rPr>
              <w:noProof/>
            </w:rPr>
            <w:drawing>
              <wp:anchor distT="0" distB="0" distL="114300" distR="114300" simplePos="0" relativeHeight="251658242" behindDoc="0" locked="0" layoutInCell="1" allowOverlap="1" wp14:anchorId="4F5748E3" wp14:editId="7784A0F8">
                <wp:simplePos x="0" y="0"/>
                <wp:positionH relativeFrom="column">
                  <wp:posOffset>46063</wp:posOffset>
                </wp:positionH>
                <wp:positionV relativeFrom="paragraph">
                  <wp:posOffset>4273</wp:posOffset>
                </wp:positionV>
                <wp:extent cx="1261955"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kele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955" cy="457200"/>
                        </a:xfrm>
                        <a:prstGeom prst="rect">
                          <a:avLst/>
                        </a:prstGeom>
                      </pic:spPr>
                    </pic:pic>
                  </a:graphicData>
                </a:graphic>
                <wp14:sizeRelH relativeFrom="page">
                  <wp14:pctWidth>0</wp14:pctWidth>
                </wp14:sizeRelH>
                <wp14:sizeRelV relativeFrom="page">
                  <wp14:pctHeight>0</wp14:pctHeight>
                </wp14:sizeRelV>
              </wp:anchor>
            </w:drawing>
          </w:r>
        </w:p>
      </w:tc>
      <w:tc>
        <w:tcPr>
          <w:tcW w:w="2500" w:type="pct"/>
        </w:tcPr>
        <w:p w14:paraId="48D99346" w14:textId="330260FD" w:rsidR="00BB5F3E" w:rsidRPr="003646D9" w:rsidRDefault="00BB5F3E">
          <w:pPr>
            <w:pStyle w:val="Header"/>
            <w:ind w:right="62"/>
            <w:jc w:val="right"/>
            <w:rPr>
              <w:rFonts w:ascii="Arial" w:hAnsi="Arial" w:cs="Arial"/>
            </w:rPr>
          </w:pPr>
          <w:r w:rsidRPr="003646D9">
            <w:rPr>
              <w:rFonts w:ascii="Arial" w:hAnsi="Arial" w:cs="Arial"/>
            </w:rPr>
            <w:t xml:space="preserve">page </w:t>
          </w:r>
          <w:r w:rsidRPr="003646D9">
            <w:rPr>
              <w:rFonts w:ascii="Arial" w:hAnsi="Arial" w:cs="Arial"/>
            </w:rPr>
            <w:fldChar w:fldCharType="begin"/>
          </w:r>
          <w:r w:rsidRPr="003646D9">
            <w:rPr>
              <w:rFonts w:ascii="Arial" w:hAnsi="Arial" w:cs="Arial"/>
            </w:rPr>
            <w:instrText xml:space="preserve"> PAGE   \* MERGEFORMAT </w:instrText>
          </w:r>
          <w:r w:rsidRPr="003646D9">
            <w:rPr>
              <w:rFonts w:ascii="Arial" w:hAnsi="Arial" w:cs="Arial"/>
            </w:rPr>
            <w:fldChar w:fldCharType="separate"/>
          </w:r>
          <w:r w:rsidR="00871F76">
            <w:rPr>
              <w:rFonts w:ascii="Arial" w:hAnsi="Arial" w:cs="Arial"/>
              <w:noProof/>
            </w:rPr>
            <w:t>18</w:t>
          </w:r>
          <w:r w:rsidRPr="003646D9">
            <w:rPr>
              <w:rFonts w:ascii="Arial" w:hAnsi="Arial" w:cs="Arial"/>
              <w:noProof/>
            </w:rPr>
            <w:fldChar w:fldCharType="end"/>
          </w:r>
        </w:p>
      </w:tc>
    </w:tr>
  </w:tbl>
  <w:p w14:paraId="61641F88" w14:textId="77777777" w:rsidR="00BB5F3E" w:rsidRPr="00BB5F3E" w:rsidRDefault="00BB5F3E" w:rsidP="00BB5F3E">
    <w:pPr>
      <w:spacing w:before="0" w:after="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73"/>
    <w:multiLevelType w:val="multilevel"/>
    <w:tmpl w:val="C39EF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E45A87"/>
    <w:multiLevelType w:val="hybridMultilevel"/>
    <w:tmpl w:val="35009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6779F"/>
    <w:multiLevelType w:val="hybridMultilevel"/>
    <w:tmpl w:val="DA16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B0047"/>
    <w:multiLevelType w:val="multilevel"/>
    <w:tmpl w:val="ADD2B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D2A31"/>
    <w:multiLevelType w:val="multilevel"/>
    <w:tmpl w:val="CC160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EB205A"/>
    <w:multiLevelType w:val="multilevel"/>
    <w:tmpl w:val="AF20E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1FA7276"/>
    <w:multiLevelType w:val="multilevel"/>
    <w:tmpl w:val="E3F827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35F12AA3"/>
    <w:multiLevelType w:val="hybridMultilevel"/>
    <w:tmpl w:val="F41C6F80"/>
    <w:lvl w:ilvl="0" w:tplc="1D42D9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0636"/>
    <w:multiLevelType w:val="multilevel"/>
    <w:tmpl w:val="02CEE89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0B70AE"/>
    <w:multiLevelType w:val="multilevel"/>
    <w:tmpl w:val="0E1EE8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FE514C"/>
    <w:multiLevelType w:val="multilevel"/>
    <w:tmpl w:val="3E246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6F0C9A"/>
    <w:multiLevelType w:val="hybridMultilevel"/>
    <w:tmpl w:val="2CC4C61A"/>
    <w:lvl w:ilvl="0" w:tplc="1D42D9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B5EB3"/>
    <w:multiLevelType w:val="multilevel"/>
    <w:tmpl w:val="AAE475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B35212D"/>
    <w:multiLevelType w:val="hybridMultilevel"/>
    <w:tmpl w:val="FF58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1626C"/>
    <w:multiLevelType w:val="hybridMultilevel"/>
    <w:tmpl w:val="1D06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4"/>
  </w:num>
  <w:num w:numId="5">
    <w:abstractNumId w:val="6"/>
  </w:num>
  <w:num w:numId="6">
    <w:abstractNumId w:val="12"/>
  </w:num>
  <w:num w:numId="7">
    <w:abstractNumId w:val="5"/>
  </w:num>
  <w:num w:numId="8">
    <w:abstractNumId w:val="0"/>
  </w:num>
  <w:num w:numId="9">
    <w:abstractNumId w:val="2"/>
  </w:num>
  <w:num w:numId="10">
    <w:abstractNumId w:val="1"/>
  </w:num>
  <w:num w:numId="11">
    <w:abstractNumId w:val="14"/>
  </w:num>
  <w:num w:numId="12">
    <w:abstractNumId w:val="13"/>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2D"/>
    <w:rsid w:val="000029F8"/>
    <w:rsid w:val="000036DA"/>
    <w:rsid w:val="00003D9F"/>
    <w:rsid w:val="000148B1"/>
    <w:rsid w:val="000209C1"/>
    <w:rsid w:val="00025A0C"/>
    <w:rsid w:val="000374D5"/>
    <w:rsid w:val="00041D10"/>
    <w:rsid w:val="000424DC"/>
    <w:rsid w:val="00044497"/>
    <w:rsid w:val="000851AA"/>
    <w:rsid w:val="000E2D62"/>
    <w:rsid w:val="000F3E45"/>
    <w:rsid w:val="001031A8"/>
    <w:rsid w:val="0011633E"/>
    <w:rsid w:val="00123461"/>
    <w:rsid w:val="0012512C"/>
    <w:rsid w:val="00165D48"/>
    <w:rsid w:val="00167596"/>
    <w:rsid w:val="00184AF4"/>
    <w:rsid w:val="0019132C"/>
    <w:rsid w:val="00196490"/>
    <w:rsid w:val="001A2849"/>
    <w:rsid w:val="001B5EBE"/>
    <w:rsid w:val="001C1D2E"/>
    <w:rsid w:val="001E04D4"/>
    <w:rsid w:val="00205AB4"/>
    <w:rsid w:val="00213FC8"/>
    <w:rsid w:val="00223DF3"/>
    <w:rsid w:val="002575E7"/>
    <w:rsid w:val="0027266D"/>
    <w:rsid w:val="00275AE2"/>
    <w:rsid w:val="0029471A"/>
    <w:rsid w:val="00295B48"/>
    <w:rsid w:val="002A13D2"/>
    <w:rsid w:val="002B5BEF"/>
    <w:rsid w:val="002C0A88"/>
    <w:rsid w:val="002C1E10"/>
    <w:rsid w:val="002C4242"/>
    <w:rsid w:val="002D1B8B"/>
    <w:rsid w:val="002E4D66"/>
    <w:rsid w:val="002E78AD"/>
    <w:rsid w:val="002F7B96"/>
    <w:rsid w:val="00303203"/>
    <w:rsid w:val="00321C1C"/>
    <w:rsid w:val="00322006"/>
    <w:rsid w:val="003371BA"/>
    <w:rsid w:val="00361BA8"/>
    <w:rsid w:val="003646D9"/>
    <w:rsid w:val="0037309E"/>
    <w:rsid w:val="00376859"/>
    <w:rsid w:val="00377459"/>
    <w:rsid w:val="0038312D"/>
    <w:rsid w:val="003900E4"/>
    <w:rsid w:val="003B5C2A"/>
    <w:rsid w:val="003C3D54"/>
    <w:rsid w:val="003C4409"/>
    <w:rsid w:val="003E626C"/>
    <w:rsid w:val="003E7024"/>
    <w:rsid w:val="003F0358"/>
    <w:rsid w:val="003F12BB"/>
    <w:rsid w:val="004053A5"/>
    <w:rsid w:val="0041165C"/>
    <w:rsid w:val="00443D55"/>
    <w:rsid w:val="00445686"/>
    <w:rsid w:val="00451C01"/>
    <w:rsid w:val="00460F98"/>
    <w:rsid w:val="00480971"/>
    <w:rsid w:val="004B2652"/>
    <w:rsid w:val="004B57DA"/>
    <w:rsid w:val="004E19F9"/>
    <w:rsid w:val="004E4285"/>
    <w:rsid w:val="004F2135"/>
    <w:rsid w:val="004F713E"/>
    <w:rsid w:val="0050052B"/>
    <w:rsid w:val="00533327"/>
    <w:rsid w:val="0054757A"/>
    <w:rsid w:val="00552292"/>
    <w:rsid w:val="00554E9F"/>
    <w:rsid w:val="00573C49"/>
    <w:rsid w:val="005A3F1D"/>
    <w:rsid w:val="005A6EAB"/>
    <w:rsid w:val="005C099A"/>
    <w:rsid w:val="005C4ADD"/>
    <w:rsid w:val="005D3CA9"/>
    <w:rsid w:val="005D6F59"/>
    <w:rsid w:val="005E4732"/>
    <w:rsid w:val="00611BA8"/>
    <w:rsid w:val="00613B2D"/>
    <w:rsid w:val="006200ED"/>
    <w:rsid w:val="00622607"/>
    <w:rsid w:val="00643BBA"/>
    <w:rsid w:val="006628D8"/>
    <w:rsid w:val="00662BED"/>
    <w:rsid w:val="00663768"/>
    <w:rsid w:val="00665FA6"/>
    <w:rsid w:val="006832F6"/>
    <w:rsid w:val="006900A5"/>
    <w:rsid w:val="00696FFA"/>
    <w:rsid w:val="006A78BE"/>
    <w:rsid w:val="006B0736"/>
    <w:rsid w:val="006C10AB"/>
    <w:rsid w:val="006C5DD1"/>
    <w:rsid w:val="006D3D26"/>
    <w:rsid w:val="006E75C2"/>
    <w:rsid w:val="006F0C53"/>
    <w:rsid w:val="006F1136"/>
    <w:rsid w:val="006F6127"/>
    <w:rsid w:val="006F7138"/>
    <w:rsid w:val="007002BF"/>
    <w:rsid w:val="007043A6"/>
    <w:rsid w:val="00721D5B"/>
    <w:rsid w:val="00723474"/>
    <w:rsid w:val="00740822"/>
    <w:rsid w:val="00740C36"/>
    <w:rsid w:val="00741DFD"/>
    <w:rsid w:val="007459EF"/>
    <w:rsid w:val="00747235"/>
    <w:rsid w:val="00753284"/>
    <w:rsid w:val="0077101E"/>
    <w:rsid w:val="00784494"/>
    <w:rsid w:val="0079395B"/>
    <w:rsid w:val="007949BF"/>
    <w:rsid w:val="00796DA9"/>
    <w:rsid w:val="007A4979"/>
    <w:rsid w:val="007A4BBC"/>
    <w:rsid w:val="007B7A9D"/>
    <w:rsid w:val="007C2E3E"/>
    <w:rsid w:val="007C44DD"/>
    <w:rsid w:val="007F4830"/>
    <w:rsid w:val="00805881"/>
    <w:rsid w:val="00812357"/>
    <w:rsid w:val="00825ED0"/>
    <w:rsid w:val="00831285"/>
    <w:rsid w:val="00831299"/>
    <w:rsid w:val="00871F76"/>
    <w:rsid w:val="00877B93"/>
    <w:rsid w:val="0088086B"/>
    <w:rsid w:val="008853E8"/>
    <w:rsid w:val="00890D15"/>
    <w:rsid w:val="008919AE"/>
    <w:rsid w:val="008972BE"/>
    <w:rsid w:val="008A1A81"/>
    <w:rsid w:val="008A33CA"/>
    <w:rsid w:val="008B74E4"/>
    <w:rsid w:val="008C30F8"/>
    <w:rsid w:val="008D3142"/>
    <w:rsid w:val="009072B1"/>
    <w:rsid w:val="009146BD"/>
    <w:rsid w:val="00916820"/>
    <w:rsid w:val="009273FE"/>
    <w:rsid w:val="00944F78"/>
    <w:rsid w:val="00956AE1"/>
    <w:rsid w:val="009627A2"/>
    <w:rsid w:val="0097100B"/>
    <w:rsid w:val="00977997"/>
    <w:rsid w:val="0099370F"/>
    <w:rsid w:val="009A050A"/>
    <w:rsid w:val="009B2CE8"/>
    <w:rsid w:val="009C1E5A"/>
    <w:rsid w:val="009D4DDB"/>
    <w:rsid w:val="009E3AEF"/>
    <w:rsid w:val="009E4B23"/>
    <w:rsid w:val="00A03472"/>
    <w:rsid w:val="00A04AC8"/>
    <w:rsid w:val="00A2441B"/>
    <w:rsid w:val="00A3180B"/>
    <w:rsid w:val="00A341DB"/>
    <w:rsid w:val="00A36122"/>
    <w:rsid w:val="00A61E3D"/>
    <w:rsid w:val="00A94DA8"/>
    <w:rsid w:val="00AA68A6"/>
    <w:rsid w:val="00AB04DC"/>
    <w:rsid w:val="00AB3231"/>
    <w:rsid w:val="00AD5E0D"/>
    <w:rsid w:val="00AD7C6E"/>
    <w:rsid w:val="00AF1F83"/>
    <w:rsid w:val="00AF215D"/>
    <w:rsid w:val="00B016C2"/>
    <w:rsid w:val="00B203A4"/>
    <w:rsid w:val="00B3356C"/>
    <w:rsid w:val="00B45798"/>
    <w:rsid w:val="00B45C5A"/>
    <w:rsid w:val="00B5391C"/>
    <w:rsid w:val="00B74267"/>
    <w:rsid w:val="00BA0C60"/>
    <w:rsid w:val="00BA6F9E"/>
    <w:rsid w:val="00BB5F3E"/>
    <w:rsid w:val="00BB79BF"/>
    <w:rsid w:val="00BC3F2D"/>
    <w:rsid w:val="00BE365F"/>
    <w:rsid w:val="00BE72B4"/>
    <w:rsid w:val="00BF4EE5"/>
    <w:rsid w:val="00C241EB"/>
    <w:rsid w:val="00C3427E"/>
    <w:rsid w:val="00C87CCD"/>
    <w:rsid w:val="00C97048"/>
    <w:rsid w:val="00CA1536"/>
    <w:rsid w:val="00CA48C9"/>
    <w:rsid w:val="00CB111F"/>
    <w:rsid w:val="00CB565A"/>
    <w:rsid w:val="00CF73A4"/>
    <w:rsid w:val="00D17C00"/>
    <w:rsid w:val="00D26CCC"/>
    <w:rsid w:val="00D40400"/>
    <w:rsid w:val="00D410DB"/>
    <w:rsid w:val="00D4423D"/>
    <w:rsid w:val="00D44FF9"/>
    <w:rsid w:val="00D46381"/>
    <w:rsid w:val="00D50F00"/>
    <w:rsid w:val="00D63D0D"/>
    <w:rsid w:val="00D71F7A"/>
    <w:rsid w:val="00D80C1D"/>
    <w:rsid w:val="00DA7661"/>
    <w:rsid w:val="00DB7451"/>
    <w:rsid w:val="00DD2892"/>
    <w:rsid w:val="00DD7388"/>
    <w:rsid w:val="00DF04E2"/>
    <w:rsid w:val="00E06409"/>
    <w:rsid w:val="00E15A2B"/>
    <w:rsid w:val="00E41351"/>
    <w:rsid w:val="00E43A71"/>
    <w:rsid w:val="00E55F0F"/>
    <w:rsid w:val="00E91D15"/>
    <w:rsid w:val="00E923D6"/>
    <w:rsid w:val="00EA092C"/>
    <w:rsid w:val="00EB4913"/>
    <w:rsid w:val="00EB5BB6"/>
    <w:rsid w:val="00ED0AB1"/>
    <w:rsid w:val="00F41A4C"/>
    <w:rsid w:val="00F5073E"/>
    <w:rsid w:val="00F61C4D"/>
    <w:rsid w:val="00F7494A"/>
    <w:rsid w:val="00FA0DDD"/>
    <w:rsid w:val="00FA5DD6"/>
    <w:rsid w:val="00FB5B14"/>
    <w:rsid w:val="00FD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6976"/>
  <w15:docId w15:val="{5629996F-B00B-4DD8-BC2A-1B4C68CA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before="130" w:after="13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E06409"/>
    <w:pPr>
      <w:keepNext/>
      <w:keepLines/>
      <w:spacing w:before="100" w:beforeAutospacing="1" w:after="0"/>
      <w:jc w:val="left"/>
      <w:outlineLvl w:val="0"/>
    </w:pPr>
    <w:rPr>
      <w:color w:val="263692"/>
      <w:sz w:val="32"/>
      <w:szCs w:val="32"/>
    </w:rPr>
  </w:style>
  <w:style w:type="paragraph" w:styleId="Heading2">
    <w:name w:val="heading 2"/>
    <w:basedOn w:val="Normal"/>
    <w:next w:val="Normal"/>
    <w:rsid w:val="00E06409"/>
    <w:pPr>
      <w:keepNext/>
      <w:keepLines/>
      <w:spacing w:before="100" w:beforeAutospacing="1" w:after="100" w:afterAutospacing="1"/>
      <w:outlineLvl w:val="1"/>
    </w:pPr>
    <w:rPr>
      <w:b/>
      <w:sz w:val="26"/>
      <w:szCs w:val="26"/>
    </w:rPr>
  </w:style>
  <w:style w:type="paragraph" w:styleId="Heading3">
    <w:name w:val="heading 3"/>
    <w:basedOn w:val="Normal"/>
    <w:next w:val="Normal"/>
    <w:rsid w:val="00E06409"/>
    <w:pPr>
      <w:spacing w:before="100" w:beforeAutospacing="1" w:after="100" w:afterAutospacing="1"/>
      <w:outlineLvl w:val="2"/>
    </w:pPr>
    <w:rPr>
      <w:b/>
      <w:szCs w:val="26"/>
    </w:rPr>
  </w:style>
  <w:style w:type="paragraph" w:styleId="Heading4">
    <w:name w:val="heading 4"/>
    <w:basedOn w:val="Normal"/>
    <w:next w:val="Normal"/>
    <w:pPr>
      <w:keepNext/>
      <w:keepLines/>
      <w:spacing w:before="40"/>
      <w:outlineLvl w:val="3"/>
    </w:pPr>
    <w:rPr>
      <w:i/>
      <w:color w:val="1C286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Pr>
    <w:tblStylePr w:type="firstRow">
      <w:rPr>
        <w:rFonts w:ascii="Arial" w:eastAsia="Arial" w:hAnsi="Arial" w:cs="Arial"/>
        <w:b/>
        <w:sz w:val="22"/>
        <w:szCs w:val="22"/>
      </w:rPr>
      <w:tblPr/>
      <w:tcPr>
        <w:shd w:val="clear" w:color="auto" w:fill="263692"/>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tblStylePr w:type="firstRow">
      <w:rPr>
        <w:rFonts w:ascii="Arial" w:eastAsia="Arial" w:hAnsi="Arial" w:cs="Arial"/>
        <w:b/>
        <w:sz w:val="22"/>
        <w:szCs w:val="22"/>
      </w:rPr>
      <w:tblPr/>
      <w:tcPr>
        <w:shd w:val="clear" w:color="auto" w:fill="263692"/>
      </w:tcPr>
    </w:tblStyle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tblStylePr w:type="firstRow">
      <w:rPr>
        <w:rFonts w:ascii="Arial" w:eastAsia="Arial" w:hAnsi="Arial" w:cs="Arial"/>
        <w:b/>
        <w:sz w:val="22"/>
        <w:szCs w:val="22"/>
      </w:rPr>
      <w:tblPr/>
      <w:tcPr>
        <w:shd w:val="clear" w:color="auto" w:fill="26369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4DA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4DA8"/>
    <w:rPr>
      <w:b/>
      <w:bCs/>
    </w:rPr>
  </w:style>
  <w:style w:type="character" w:customStyle="1" w:styleId="CommentSubjectChar">
    <w:name w:val="Comment Subject Char"/>
    <w:basedOn w:val="CommentTextChar"/>
    <w:link w:val="CommentSubject"/>
    <w:uiPriority w:val="99"/>
    <w:semiHidden/>
    <w:rsid w:val="00A94DA8"/>
    <w:rPr>
      <w:b/>
      <w:bCs/>
      <w:sz w:val="20"/>
      <w:szCs w:val="20"/>
    </w:rPr>
  </w:style>
  <w:style w:type="paragraph" w:styleId="FootnoteText">
    <w:name w:val="footnote text"/>
    <w:basedOn w:val="Normal"/>
    <w:link w:val="FootnoteTextChar"/>
    <w:uiPriority w:val="99"/>
    <w:unhideWhenUsed/>
    <w:rsid w:val="008919A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8919AE"/>
    <w:rPr>
      <w:sz w:val="20"/>
      <w:szCs w:val="20"/>
    </w:rPr>
  </w:style>
  <w:style w:type="character" w:styleId="FootnoteReference">
    <w:name w:val="footnote reference"/>
    <w:basedOn w:val="DefaultParagraphFont"/>
    <w:uiPriority w:val="99"/>
    <w:semiHidden/>
    <w:unhideWhenUsed/>
    <w:rsid w:val="008919AE"/>
    <w:rPr>
      <w:vertAlign w:val="superscript"/>
    </w:rPr>
  </w:style>
  <w:style w:type="paragraph" w:styleId="Footer">
    <w:name w:val="footer"/>
    <w:basedOn w:val="Normal"/>
    <w:link w:val="FooterChar"/>
    <w:uiPriority w:val="99"/>
    <w:unhideWhenUsed/>
    <w:rsid w:val="007234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23474"/>
  </w:style>
  <w:style w:type="paragraph" w:styleId="Header">
    <w:name w:val="header"/>
    <w:basedOn w:val="Normal"/>
    <w:link w:val="HeaderChar"/>
    <w:uiPriority w:val="99"/>
    <w:unhideWhenUsed/>
    <w:rsid w:val="00956AE1"/>
    <w:pPr>
      <w:tabs>
        <w:tab w:val="center" w:pos="4680"/>
        <w:tab w:val="right" w:pos="9360"/>
      </w:tabs>
      <w:spacing w:before="0" w:after="0" w:line="240" w:lineRule="auto"/>
      <w:jc w:val="left"/>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956AE1"/>
    <w:rPr>
      <w:rFonts w:asciiTheme="minorHAnsi" w:eastAsiaTheme="minorHAnsi" w:hAnsiTheme="minorHAnsi" w:cstheme="minorBidi"/>
      <w:lang w:val="en-US"/>
    </w:rPr>
  </w:style>
  <w:style w:type="table" w:styleId="TableGrid">
    <w:name w:val="Table Grid"/>
    <w:basedOn w:val="TableNormal"/>
    <w:uiPriority w:val="99"/>
    <w:rsid w:val="00956AE1"/>
    <w:pPr>
      <w:spacing w:before="0" w:after="0" w:line="240" w:lineRule="auto"/>
      <w:jc w:val="left"/>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1A4C"/>
    <w:pPr>
      <w:tabs>
        <w:tab w:val="right" w:leader="dot" w:pos="9350"/>
      </w:tabs>
      <w:spacing w:after="100"/>
    </w:pPr>
  </w:style>
  <w:style w:type="paragraph" w:styleId="TOC2">
    <w:name w:val="toc 2"/>
    <w:basedOn w:val="Normal"/>
    <w:next w:val="Normal"/>
    <w:autoRedefine/>
    <w:uiPriority w:val="39"/>
    <w:unhideWhenUsed/>
    <w:rsid w:val="00741DFD"/>
    <w:pPr>
      <w:spacing w:after="100"/>
      <w:ind w:left="220"/>
    </w:pPr>
  </w:style>
  <w:style w:type="character" w:styleId="Hyperlink">
    <w:name w:val="Hyperlink"/>
    <w:basedOn w:val="DefaultParagraphFont"/>
    <w:uiPriority w:val="99"/>
    <w:unhideWhenUsed/>
    <w:rsid w:val="00741DFD"/>
    <w:rPr>
      <w:color w:val="DC4405" w:themeColor="hyperlink"/>
      <w:u w:val="single"/>
    </w:rPr>
  </w:style>
  <w:style w:type="table" w:customStyle="1" w:styleId="TableGrid1">
    <w:name w:val="Table Grid1"/>
    <w:basedOn w:val="TableNormal"/>
    <w:next w:val="TableGrid"/>
    <w:uiPriority w:val="99"/>
    <w:rsid w:val="00741DFD"/>
    <w:pPr>
      <w:spacing w:before="0" w:after="0" w:line="240" w:lineRule="auto"/>
      <w:jc w:val="left"/>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41DFD"/>
    <w:pPr>
      <w:spacing w:before="0" w:after="0" w:line="240" w:lineRule="auto"/>
      <w:jc w:val="left"/>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46D9"/>
    <w:pPr>
      <w:spacing w:before="240" w:line="259" w:lineRule="auto"/>
      <w:outlineLvl w:val="9"/>
    </w:pPr>
    <w:rPr>
      <w:rFonts w:asciiTheme="majorHAnsi" w:eastAsiaTheme="majorEastAsia" w:hAnsiTheme="majorHAnsi" w:cstheme="majorBidi"/>
      <w:color w:val="1C286D" w:themeColor="accent1" w:themeShade="BF"/>
      <w:lang w:val="en-US"/>
    </w:rPr>
  </w:style>
  <w:style w:type="paragraph" w:styleId="TOC3">
    <w:name w:val="toc 3"/>
    <w:basedOn w:val="Normal"/>
    <w:next w:val="Normal"/>
    <w:autoRedefine/>
    <w:uiPriority w:val="39"/>
    <w:unhideWhenUsed/>
    <w:rsid w:val="003646D9"/>
    <w:pPr>
      <w:spacing w:before="0" w:after="100" w:line="259" w:lineRule="auto"/>
      <w:ind w:left="440"/>
      <w:jc w:val="left"/>
    </w:pPr>
    <w:rPr>
      <w:rFonts w:asciiTheme="minorHAnsi" w:eastAsiaTheme="minorEastAsia" w:hAnsiTheme="minorHAnsi" w:cs="Times New Roman"/>
      <w:lang w:val="en-US"/>
    </w:rPr>
  </w:style>
  <w:style w:type="paragraph" w:styleId="ListParagraph">
    <w:name w:val="List Paragraph"/>
    <w:basedOn w:val="Normal"/>
    <w:uiPriority w:val="34"/>
    <w:qFormat/>
    <w:rsid w:val="0077101E"/>
    <w:pPr>
      <w:ind w:left="720"/>
      <w:contextualSpacing/>
    </w:pPr>
  </w:style>
  <w:style w:type="character" w:customStyle="1" w:styleId="A00">
    <w:name w:val="A0"/>
    <w:uiPriority w:val="99"/>
    <w:rsid w:val="001C1D2E"/>
    <w:rPr>
      <w:rFonts w:cs="Myriad Pro Light"/>
      <w:b/>
      <w:bCs/>
      <w:i/>
      <w:iCs/>
      <w:color w:val="000000"/>
      <w:sz w:val="36"/>
      <w:szCs w:val="36"/>
    </w:rPr>
  </w:style>
  <w:style w:type="paragraph" w:styleId="Revision">
    <w:name w:val="Revision"/>
    <w:hidden/>
    <w:uiPriority w:val="99"/>
    <w:semiHidden/>
    <w:rsid w:val="00DD7388"/>
    <w:pPr>
      <w:spacing w:before="0" w:after="0" w:line="240" w:lineRule="auto"/>
      <w:jc w:val="left"/>
    </w:pPr>
  </w:style>
  <w:style w:type="table" w:customStyle="1" w:styleId="Style1">
    <w:name w:val="Style1"/>
    <w:basedOn w:val="TableNormal"/>
    <w:uiPriority w:val="99"/>
    <w:rsid w:val="0038312D"/>
    <w:pPr>
      <w:spacing w:before="0" w:after="0" w:line="240" w:lineRule="auto"/>
      <w:jc w:val="left"/>
    </w:pPr>
    <w:tblPr>
      <w:tblBorders>
        <w:top w:val="single" w:sz="4" w:space="0" w:color="263692" w:themeColor="accent1"/>
        <w:left w:val="single" w:sz="4" w:space="0" w:color="263692" w:themeColor="accent1"/>
        <w:bottom w:val="single" w:sz="4" w:space="0" w:color="263692" w:themeColor="accent1"/>
        <w:right w:val="single" w:sz="4" w:space="0" w:color="263692" w:themeColor="accent1"/>
        <w:insideH w:val="single" w:sz="4" w:space="0" w:color="263692" w:themeColor="accent1"/>
      </w:tblBorders>
    </w:tblPr>
    <w:tblStylePr w:type="firstRow">
      <w:tblPr/>
      <w:tcPr>
        <w:shd w:val="clear" w:color="auto" w:fill="263692" w:themeFill="accent1"/>
      </w:tcPr>
    </w:tblStylePr>
  </w:style>
  <w:style w:type="paragraph" w:customStyle="1" w:styleId="Appendix">
    <w:name w:val="Appendix"/>
    <w:basedOn w:val="Normal"/>
    <w:qFormat/>
    <w:rsid w:val="0038312D"/>
    <w:pPr>
      <w:pBdr>
        <w:bottom w:val="single" w:sz="4" w:space="1" w:color="263692"/>
      </w:pBdr>
      <w:spacing w:before="0" w:after="0" w:line="240" w:lineRule="auto"/>
      <w:jc w:val="center"/>
    </w:pPr>
    <w:rPr>
      <w:rFonts w:eastAsia="Times New Roman"/>
      <w:color w:val="263692"/>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72">
      <w:bodyDiv w:val="1"/>
      <w:marLeft w:val="0"/>
      <w:marRight w:val="0"/>
      <w:marTop w:val="0"/>
      <w:marBottom w:val="0"/>
      <w:divBdr>
        <w:top w:val="none" w:sz="0" w:space="0" w:color="auto"/>
        <w:left w:val="none" w:sz="0" w:space="0" w:color="auto"/>
        <w:bottom w:val="none" w:sz="0" w:space="0" w:color="auto"/>
        <w:right w:val="none" w:sz="0" w:space="0" w:color="auto"/>
      </w:divBdr>
    </w:div>
    <w:div w:id="208885732">
      <w:bodyDiv w:val="1"/>
      <w:marLeft w:val="0"/>
      <w:marRight w:val="0"/>
      <w:marTop w:val="0"/>
      <w:marBottom w:val="0"/>
      <w:divBdr>
        <w:top w:val="none" w:sz="0" w:space="0" w:color="auto"/>
        <w:left w:val="none" w:sz="0" w:space="0" w:color="auto"/>
        <w:bottom w:val="none" w:sz="0" w:space="0" w:color="auto"/>
        <w:right w:val="none" w:sz="0" w:space="0" w:color="auto"/>
      </w:divBdr>
    </w:div>
    <w:div w:id="310912537">
      <w:bodyDiv w:val="1"/>
      <w:marLeft w:val="0"/>
      <w:marRight w:val="0"/>
      <w:marTop w:val="0"/>
      <w:marBottom w:val="0"/>
      <w:divBdr>
        <w:top w:val="none" w:sz="0" w:space="0" w:color="auto"/>
        <w:left w:val="none" w:sz="0" w:space="0" w:color="auto"/>
        <w:bottom w:val="none" w:sz="0" w:space="0" w:color="auto"/>
        <w:right w:val="none" w:sz="0" w:space="0" w:color="auto"/>
      </w:divBdr>
    </w:div>
    <w:div w:id="1186409931">
      <w:bodyDiv w:val="1"/>
      <w:marLeft w:val="0"/>
      <w:marRight w:val="0"/>
      <w:marTop w:val="0"/>
      <w:marBottom w:val="0"/>
      <w:divBdr>
        <w:top w:val="none" w:sz="0" w:space="0" w:color="auto"/>
        <w:left w:val="none" w:sz="0" w:space="0" w:color="auto"/>
        <w:bottom w:val="none" w:sz="0" w:space="0" w:color="auto"/>
        <w:right w:val="none" w:sz="0" w:space="0" w:color="auto"/>
      </w:divBdr>
    </w:div>
    <w:div w:id="1458376610">
      <w:bodyDiv w:val="1"/>
      <w:marLeft w:val="0"/>
      <w:marRight w:val="0"/>
      <w:marTop w:val="0"/>
      <w:marBottom w:val="0"/>
      <w:divBdr>
        <w:top w:val="none" w:sz="0" w:space="0" w:color="auto"/>
        <w:left w:val="none" w:sz="0" w:space="0" w:color="auto"/>
        <w:bottom w:val="none" w:sz="0" w:space="0" w:color="auto"/>
        <w:right w:val="none" w:sz="0" w:space="0" w:color="auto"/>
      </w:divBdr>
    </w:div>
    <w:div w:id="1472357140">
      <w:bodyDiv w:val="1"/>
      <w:marLeft w:val="0"/>
      <w:marRight w:val="0"/>
      <w:marTop w:val="0"/>
      <w:marBottom w:val="0"/>
      <w:divBdr>
        <w:top w:val="none" w:sz="0" w:space="0" w:color="auto"/>
        <w:left w:val="none" w:sz="0" w:space="0" w:color="auto"/>
        <w:bottom w:val="none" w:sz="0" w:space="0" w:color="auto"/>
        <w:right w:val="none" w:sz="0" w:space="0" w:color="auto"/>
      </w:divBdr>
    </w:div>
    <w:div w:id="1585603693">
      <w:bodyDiv w:val="1"/>
      <w:marLeft w:val="0"/>
      <w:marRight w:val="0"/>
      <w:marTop w:val="0"/>
      <w:marBottom w:val="0"/>
      <w:divBdr>
        <w:top w:val="none" w:sz="0" w:space="0" w:color="auto"/>
        <w:left w:val="none" w:sz="0" w:space="0" w:color="auto"/>
        <w:bottom w:val="none" w:sz="0" w:space="0" w:color="auto"/>
        <w:right w:val="none" w:sz="0" w:space="0" w:color="auto"/>
      </w:divBdr>
    </w:div>
    <w:div w:id="211532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akelyTheme">
  <a:themeElements>
    <a:clrScheme name="Wakely Colors">
      <a:dk1>
        <a:srgbClr val="AFAFAF"/>
      </a:dk1>
      <a:lt1>
        <a:srgbClr val="EFEFEF"/>
      </a:lt1>
      <a:dk2>
        <a:srgbClr val="3A3838"/>
      </a:dk2>
      <a:lt2>
        <a:srgbClr val="FFFFFF"/>
      </a:lt2>
      <a:accent1>
        <a:srgbClr val="263692"/>
      </a:accent1>
      <a:accent2>
        <a:srgbClr val="00AEEF"/>
      </a:accent2>
      <a:accent3>
        <a:srgbClr val="2B204F"/>
      </a:accent3>
      <a:accent4>
        <a:srgbClr val="DC4405"/>
      </a:accent4>
      <a:accent5>
        <a:srgbClr val="FFB500"/>
      </a:accent5>
      <a:accent6>
        <a:srgbClr val="83BD00"/>
      </a:accent6>
      <a:hlink>
        <a:srgbClr val="DC4405"/>
      </a:hlink>
      <a:folHlink>
        <a:srgbClr val="DB440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akely Theme" id="{827BD843-C518-BD44-BEF1-528BC00FC1E8}" vid="{CE1C2FEA-04CA-D24D-8B55-79F5FA8217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22C07FA27827458AA5D61B0BC1A66D" ma:contentTypeVersion="15" ma:contentTypeDescription="Create a new document." ma:contentTypeScope="" ma:versionID="ee8b2251b81b4f78bae1f04ffea73914">
  <xsd:schema xmlns:xsd="http://www.w3.org/2001/XMLSchema" xmlns:xs="http://www.w3.org/2001/XMLSchema" xmlns:p="http://schemas.microsoft.com/office/2006/metadata/properties" xmlns:ns1="http://schemas.microsoft.com/sharepoint/v3" xmlns:ns2="9afd0b30-9f70-4771-9d77-11b312ea7c49" xmlns:ns3="770b0849-1567-42a8-9e8c-3e26d18d1bf0" targetNamespace="http://schemas.microsoft.com/office/2006/metadata/properties" ma:root="true" ma:fieldsID="eb9ad3de1f287173ef689dba111ec964" ns1:_="" ns2:_="" ns3:_="">
    <xsd:import namespace="http://schemas.microsoft.com/sharepoint/v3"/>
    <xsd:import namespace="9afd0b30-9f70-4771-9d77-11b312ea7c49"/>
    <xsd:import namespace="770b0849-1567-42a8-9e8c-3e26d18d1b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d0b30-9f70-4771-9d77-11b312ea7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b0849-1567-42a8-9e8c-3e26d18d1b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27CB1A-8DB1-4FB4-B4D7-86BEABF4ACC4}">
  <ds:schemaRefs>
    <ds:schemaRef ds:uri="http://schemas.openxmlformats.org/officeDocument/2006/bibliography"/>
  </ds:schemaRefs>
</ds:datastoreItem>
</file>

<file path=customXml/itemProps2.xml><?xml version="1.0" encoding="utf-8"?>
<ds:datastoreItem xmlns:ds="http://schemas.openxmlformats.org/officeDocument/2006/customXml" ds:itemID="{AE515E68-47F1-4803-B042-F65E1724A79F}"/>
</file>

<file path=customXml/itemProps3.xml><?xml version="1.0" encoding="utf-8"?>
<ds:datastoreItem xmlns:ds="http://schemas.openxmlformats.org/officeDocument/2006/customXml" ds:itemID="{9635A684-9EC5-4C0E-9004-385240F1BE74}"/>
</file>

<file path=customXml/itemProps4.xml><?xml version="1.0" encoding="utf-8"?>
<ds:datastoreItem xmlns:ds="http://schemas.openxmlformats.org/officeDocument/2006/customXml" ds:itemID="{07F57A71-F1C5-4504-848A-735545C9D1B6}"/>
</file>

<file path=docProps/app.xml><?xml version="1.0" encoding="utf-8"?>
<Properties xmlns="http://schemas.openxmlformats.org/officeDocument/2006/extended-properties" xmlns:vt="http://schemas.openxmlformats.org/officeDocument/2006/docPropsVTypes">
  <Template>Normal</Template>
  <TotalTime>1</TotalTime>
  <Pages>20</Pages>
  <Words>5146</Words>
  <Characters>28512</Characters>
  <Application>Microsoft Office Word</Application>
  <DocSecurity>4</DocSecurity>
  <Lines>509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33465</CharactersWithSpaces>
  <SharedDoc>false</SharedDoc>
  <HLinks>
    <vt:vector size="72" baseType="variant">
      <vt:variant>
        <vt:i4>1441840</vt:i4>
      </vt:variant>
      <vt:variant>
        <vt:i4>68</vt:i4>
      </vt:variant>
      <vt:variant>
        <vt:i4>0</vt:i4>
      </vt:variant>
      <vt:variant>
        <vt:i4>5</vt:i4>
      </vt:variant>
      <vt:variant>
        <vt:lpwstr/>
      </vt:variant>
      <vt:variant>
        <vt:lpwstr>_Toc100311033</vt:lpwstr>
      </vt:variant>
      <vt:variant>
        <vt:i4>1441840</vt:i4>
      </vt:variant>
      <vt:variant>
        <vt:i4>62</vt:i4>
      </vt:variant>
      <vt:variant>
        <vt:i4>0</vt:i4>
      </vt:variant>
      <vt:variant>
        <vt:i4>5</vt:i4>
      </vt:variant>
      <vt:variant>
        <vt:lpwstr/>
      </vt:variant>
      <vt:variant>
        <vt:lpwstr>_Toc100311032</vt:lpwstr>
      </vt:variant>
      <vt:variant>
        <vt:i4>1441840</vt:i4>
      </vt:variant>
      <vt:variant>
        <vt:i4>56</vt:i4>
      </vt:variant>
      <vt:variant>
        <vt:i4>0</vt:i4>
      </vt:variant>
      <vt:variant>
        <vt:i4>5</vt:i4>
      </vt:variant>
      <vt:variant>
        <vt:lpwstr/>
      </vt:variant>
      <vt:variant>
        <vt:lpwstr>_Toc100311031</vt:lpwstr>
      </vt:variant>
      <vt:variant>
        <vt:i4>1441840</vt:i4>
      </vt:variant>
      <vt:variant>
        <vt:i4>50</vt:i4>
      </vt:variant>
      <vt:variant>
        <vt:i4>0</vt:i4>
      </vt:variant>
      <vt:variant>
        <vt:i4>5</vt:i4>
      </vt:variant>
      <vt:variant>
        <vt:lpwstr/>
      </vt:variant>
      <vt:variant>
        <vt:lpwstr>_Toc100311030</vt:lpwstr>
      </vt:variant>
      <vt:variant>
        <vt:i4>1507376</vt:i4>
      </vt:variant>
      <vt:variant>
        <vt:i4>44</vt:i4>
      </vt:variant>
      <vt:variant>
        <vt:i4>0</vt:i4>
      </vt:variant>
      <vt:variant>
        <vt:i4>5</vt:i4>
      </vt:variant>
      <vt:variant>
        <vt:lpwstr/>
      </vt:variant>
      <vt:variant>
        <vt:lpwstr>_Toc100311029</vt:lpwstr>
      </vt:variant>
      <vt:variant>
        <vt:i4>1507376</vt:i4>
      </vt:variant>
      <vt:variant>
        <vt:i4>38</vt:i4>
      </vt:variant>
      <vt:variant>
        <vt:i4>0</vt:i4>
      </vt:variant>
      <vt:variant>
        <vt:i4>5</vt:i4>
      </vt:variant>
      <vt:variant>
        <vt:lpwstr/>
      </vt:variant>
      <vt:variant>
        <vt:lpwstr>_Toc100311028</vt:lpwstr>
      </vt:variant>
      <vt:variant>
        <vt:i4>1507376</vt:i4>
      </vt:variant>
      <vt:variant>
        <vt:i4>32</vt:i4>
      </vt:variant>
      <vt:variant>
        <vt:i4>0</vt:i4>
      </vt:variant>
      <vt:variant>
        <vt:i4>5</vt:i4>
      </vt:variant>
      <vt:variant>
        <vt:lpwstr/>
      </vt:variant>
      <vt:variant>
        <vt:lpwstr>_Toc100311027</vt:lpwstr>
      </vt:variant>
      <vt:variant>
        <vt:i4>1507376</vt:i4>
      </vt:variant>
      <vt:variant>
        <vt:i4>26</vt:i4>
      </vt:variant>
      <vt:variant>
        <vt:i4>0</vt:i4>
      </vt:variant>
      <vt:variant>
        <vt:i4>5</vt:i4>
      </vt:variant>
      <vt:variant>
        <vt:lpwstr/>
      </vt:variant>
      <vt:variant>
        <vt:lpwstr>_Toc100311026</vt:lpwstr>
      </vt:variant>
      <vt:variant>
        <vt:i4>1507376</vt:i4>
      </vt:variant>
      <vt:variant>
        <vt:i4>20</vt:i4>
      </vt:variant>
      <vt:variant>
        <vt:i4>0</vt:i4>
      </vt:variant>
      <vt:variant>
        <vt:i4>5</vt:i4>
      </vt:variant>
      <vt:variant>
        <vt:lpwstr/>
      </vt:variant>
      <vt:variant>
        <vt:lpwstr>_Toc100311025</vt:lpwstr>
      </vt:variant>
      <vt:variant>
        <vt:i4>1507376</vt:i4>
      </vt:variant>
      <vt:variant>
        <vt:i4>14</vt:i4>
      </vt:variant>
      <vt:variant>
        <vt:i4>0</vt:i4>
      </vt:variant>
      <vt:variant>
        <vt:i4>5</vt:i4>
      </vt:variant>
      <vt:variant>
        <vt:lpwstr/>
      </vt:variant>
      <vt:variant>
        <vt:lpwstr>_Toc100311024</vt:lpwstr>
      </vt:variant>
      <vt:variant>
        <vt:i4>1507376</vt:i4>
      </vt:variant>
      <vt:variant>
        <vt:i4>8</vt:i4>
      </vt:variant>
      <vt:variant>
        <vt:i4>0</vt:i4>
      </vt:variant>
      <vt:variant>
        <vt:i4>5</vt:i4>
      </vt:variant>
      <vt:variant>
        <vt:lpwstr/>
      </vt:variant>
      <vt:variant>
        <vt:lpwstr>_Toc100311023</vt:lpwstr>
      </vt:variant>
      <vt:variant>
        <vt:i4>1507376</vt:i4>
      </vt:variant>
      <vt:variant>
        <vt:i4>2</vt:i4>
      </vt:variant>
      <vt:variant>
        <vt:i4>0</vt:i4>
      </vt:variant>
      <vt:variant>
        <vt:i4>5</vt:i4>
      </vt:variant>
      <vt:variant>
        <vt:lpwstr/>
      </vt:variant>
      <vt:variant>
        <vt:lpwstr>_Toc100311022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Leilani</dc:creator>
  <cp:keywords/>
  <cp:lastModifiedBy>Brackin, Stephanie</cp:lastModifiedBy>
  <cp:revision>2</cp:revision>
  <cp:lastPrinted>2022-04-13T16:55:00Z</cp:lastPrinted>
  <dcterms:created xsi:type="dcterms:W3CDTF">2022-04-15T15:59:00Z</dcterms:created>
  <dcterms:modified xsi:type="dcterms:W3CDTF">2022-04-15T15:59:00Z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0x0101003822C07FA27827458AA5D61B0BC1A66D</vt:lpwstr>
  </property>
</Properties>
</file>